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r w:rsidDel="00000000" w:rsidR="00000000" w:rsidRPr="00000000">
        <w:rPr>
          <w:color w:val="ff0000"/>
        </w:rPr>
        <w:drawing>
          <wp:inline distB="0" distT="0" distL="0" distR="0">
            <wp:extent cx="5861401" cy="4164930"/>
            <wp:effectExtent b="0" l="0" r="0" t="0"/>
            <wp:docPr id="1958378601" name="image3.png"/>
            <a:graphic>
              <a:graphicData uri="http://schemas.openxmlformats.org/drawingml/2006/picture">
                <pic:pic>
                  <pic:nvPicPr>
                    <pic:cNvPr id="0" name="image3.png"/>
                    <pic:cNvPicPr preferRelativeResize="0"/>
                  </pic:nvPicPr>
                  <pic:blipFill>
                    <a:blip r:embed="rId7"/>
                    <a:srcRect b="14472" l="0" r="0" t="14472"/>
                    <a:stretch>
                      <a:fillRect/>
                    </a:stretch>
                  </pic:blipFill>
                  <pic:spPr>
                    <a:xfrm>
                      <a:off x="0" y="0"/>
                      <a:ext cx="5861401" cy="416493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b w:val="1"/>
          <w:color w:val="1a496a"/>
          <w:sz w:val="40"/>
          <w:szCs w:val="40"/>
        </w:rPr>
      </w:pPr>
      <w:bookmarkStart w:colFirst="0" w:colLast="0" w:name="_heading=h.49x2ik5" w:id="0"/>
      <w:bookmarkEnd w:id="0"/>
      <w:r w:rsidDel="00000000" w:rsidR="00000000" w:rsidRPr="00000000">
        <w:rPr>
          <w:b w:val="1"/>
          <w:color w:val="1a496a"/>
          <w:sz w:val="40"/>
          <w:szCs w:val="40"/>
          <w:rtl w:val="0"/>
        </w:rPr>
        <w:t xml:space="preserve">Programa de Emprendimiento Social y Sostenible para Jóvenes (SUSE)</w:t>
      </w:r>
    </w:p>
    <w:p w:rsidR="00000000" w:rsidDel="00000000" w:rsidP="00000000" w:rsidRDefault="00000000" w:rsidRPr="00000000" w14:paraId="00000006">
      <w:pPr>
        <w:tabs>
          <w:tab w:val="right" w:leader="none" w:pos="9072"/>
        </w:tabs>
        <w:jc w:val="center"/>
        <w:rPr>
          <w:sz w:val="28"/>
          <w:szCs w:val="28"/>
        </w:rPr>
      </w:pPr>
      <w:r w:rsidDel="00000000" w:rsidR="00000000" w:rsidRPr="00000000">
        <w:rPr>
          <w:rtl w:val="0"/>
        </w:rPr>
      </w:r>
    </w:p>
    <w:p w:rsidR="00000000" w:rsidDel="00000000" w:rsidP="00000000" w:rsidRDefault="00000000" w:rsidRPr="00000000" w14:paraId="00000007">
      <w:pPr>
        <w:tabs>
          <w:tab w:val="right" w:leader="none" w:pos="9072"/>
        </w:tabs>
        <w:jc w:val="center"/>
        <w:rPr>
          <w:sz w:val="40"/>
          <w:szCs w:val="40"/>
        </w:rPr>
      </w:pPr>
      <w:r w:rsidDel="00000000" w:rsidR="00000000" w:rsidRPr="00000000">
        <w:rPr>
          <w:rtl w:val="0"/>
        </w:rPr>
      </w:r>
    </w:p>
    <w:p w:rsidR="00000000" w:rsidDel="00000000" w:rsidP="00000000" w:rsidRDefault="00000000" w:rsidRPr="00000000" w14:paraId="00000008">
      <w:pPr>
        <w:jc w:val="center"/>
        <w:rPr>
          <w:b w:val="1"/>
          <w:color w:val="000000"/>
          <w:sz w:val="24"/>
          <w:szCs w:val="24"/>
        </w:rPr>
      </w:pPr>
      <w:r w:rsidDel="00000000" w:rsidR="00000000" w:rsidRPr="00000000">
        <w:rPr>
          <w:b w:val="1"/>
          <w:sz w:val="24"/>
          <w:szCs w:val="24"/>
          <w:rtl w:val="0"/>
        </w:rPr>
        <w:t xml:space="preserve">Guía para comprender la degradación medioambiental en las empresas</w:t>
      </w:r>
      <w:r w:rsidDel="00000000" w:rsidR="00000000" w:rsidRPr="00000000">
        <w:rPr>
          <w:rtl w:val="0"/>
        </w:rPr>
      </w:r>
    </w:p>
    <w:p w:rsidR="00000000" w:rsidDel="00000000" w:rsidP="00000000" w:rsidRDefault="00000000" w:rsidRPr="00000000" w14:paraId="00000009">
      <w:pPr>
        <w:jc w:val="left"/>
        <w:rPr>
          <w:rFonts w:ascii="Prompt" w:cs="Prompt" w:eastAsia="Prompt" w:hAnsi="Prompt"/>
          <w:color w:val="000000"/>
          <w:sz w:val="14"/>
          <w:szCs w:val="14"/>
        </w:rPr>
      </w:pPr>
      <w:r w:rsidDel="00000000" w:rsidR="00000000" w:rsidRPr="00000000">
        <w:rPr>
          <w:rtl w:val="0"/>
        </w:rPr>
      </w:r>
    </w:p>
    <w:p w:rsidR="00000000" w:rsidDel="00000000" w:rsidP="00000000" w:rsidRDefault="00000000" w:rsidRPr="00000000" w14:paraId="0000000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rFonts w:ascii="Arial" w:cs="Arial" w:eastAsia="Arial" w:hAnsi="Arial"/>
          <w:smallCaps w:val="1"/>
          <w:color w:val="0070c0"/>
          <w:sz w:val="28"/>
          <w:szCs w:val="28"/>
        </w:rPr>
      </w:pPr>
      <w:r w:rsidDel="00000000" w:rsidR="00000000" w:rsidRPr="00000000">
        <w:rPr>
          <w:rtl w:val="0"/>
        </w:rPr>
        <w:t xml:space="preserve">Todos los derechos reservados.</w:t>
      </w:r>
      <w:r w:rsidDel="00000000" w:rsidR="00000000" w:rsidRPr="00000000">
        <w:rPr>
          <w:rtl w:val="0"/>
        </w:rPr>
      </w:r>
    </w:p>
    <w:p w:rsidR="00000000" w:rsidDel="00000000" w:rsidP="00000000" w:rsidRDefault="00000000" w:rsidRPr="00000000" w14:paraId="0000000D">
      <w:pPr>
        <w:keepNext w:val="1"/>
        <w:pBdr>
          <w:top w:space="0" w:sz="0" w:val="nil"/>
          <w:left w:space="0" w:sz="0" w:val="nil"/>
          <w:bottom w:space="0" w:sz="0" w:val="nil"/>
          <w:right w:space="0" w:sz="0" w:val="nil"/>
          <w:between w:space="0" w:sz="0" w:val="nil"/>
        </w:pBdr>
        <w:spacing w:after="120" w:before="480" w:lineRule="auto"/>
        <w:ind w:left="720" w:hanging="360"/>
        <w:jc w:val="left"/>
        <w:rPr>
          <w:rFonts w:ascii="Arial" w:cs="Arial" w:eastAsia="Arial" w:hAnsi="Arial"/>
          <w:smallCaps w:val="1"/>
          <w:color w:val="0070c0"/>
          <w:sz w:val="28"/>
          <w:szCs w:val="28"/>
        </w:rPr>
      </w:pPr>
      <w:r w:rsidDel="00000000" w:rsidR="00000000" w:rsidRPr="00000000">
        <w:rPr>
          <w:rFonts w:ascii="Arial" w:cs="Arial" w:eastAsia="Arial" w:hAnsi="Arial"/>
          <w:smallCaps w:val="1"/>
          <w:color w:val="0070c0"/>
          <w:sz w:val="28"/>
          <w:szCs w:val="28"/>
          <w:rtl w:val="0"/>
        </w:rPr>
        <w:t xml:space="preserve">Copyright</w:t>
      </w:r>
    </w:p>
    <w:p w:rsidR="00000000" w:rsidDel="00000000" w:rsidP="00000000" w:rsidRDefault="00000000" w:rsidRPr="00000000" w14:paraId="0000000E">
      <w:pPr>
        <w:rPr/>
      </w:pPr>
      <w:r w:rsidDel="00000000" w:rsidR="00000000" w:rsidRPr="00000000">
        <w:rPr>
          <w:rtl w:val="0"/>
        </w:rPr>
        <w:t xml:space="preserve">© Copyright 2023 Sustainable and Social Entrepreneurship for Youth</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Miembros asociados:                                                    </w:t>
      </w:r>
    </w:p>
    <w:p w:rsidR="00000000" w:rsidDel="00000000" w:rsidP="00000000" w:rsidRDefault="00000000" w:rsidRPr="00000000" w14:paraId="00000011">
      <w:pPr>
        <w:tabs>
          <w:tab w:val="left" w:leader="none" w:pos="7095"/>
        </w:tabs>
        <w:rPr>
          <w:b w:val="1"/>
          <w:color w:val="1a496a"/>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127000</wp:posOffset>
                </wp:positionV>
                <wp:extent cx="5335905" cy="2322195"/>
                <wp:effectExtent b="0" l="0" r="0" t="0"/>
                <wp:wrapNone/>
                <wp:docPr id="1958378595" name=""/>
                <a:graphic>
                  <a:graphicData uri="http://schemas.microsoft.com/office/word/2010/wordprocessingGroup">
                    <wpg:wgp>
                      <wpg:cNvGrpSpPr/>
                      <wpg:grpSpPr>
                        <a:xfrm>
                          <a:off x="2678025" y="2618900"/>
                          <a:ext cx="5335905" cy="2322195"/>
                          <a:chOff x="2678025" y="2618900"/>
                          <a:chExt cx="5335950" cy="2322200"/>
                        </a:xfrm>
                      </wpg:grpSpPr>
                      <wpg:grpSp>
                        <wpg:cNvGrpSpPr/>
                        <wpg:grpSpPr>
                          <a:xfrm>
                            <a:off x="2678048" y="2618903"/>
                            <a:ext cx="5335905" cy="2322195"/>
                            <a:chOff x="0" y="0"/>
                            <a:chExt cx="5335905" cy="2322195"/>
                          </a:xfrm>
                        </wpg:grpSpPr>
                        <wps:wsp>
                          <wps:cNvSpPr/>
                          <wps:cNvPr id="4" name="Shape 4"/>
                          <wps:spPr>
                            <a:xfrm>
                              <a:off x="0" y="0"/>
                              <a:ext cx="5335900" cy="232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fbeelding met tekst, bloem, Lettertype, Graphics&#10;&#10;Automatisch gegenereerde beschrijving" id="5" name="Shape 5"/>
                            <pic:cNvPicPr preferRelativeResize="0"/>
                          </pic:nvPicPr>
                          <pic:blipFill rotWithShape="1">
                            <a:blip r:embed="rId8">
                              <a:alphaModFix/>
                            </a:blip>
                            <a:srcRect b="0" l="0" r="0" t="0"/>
                            <a:stretch/>
                          </pic:blipFill>
                          <pic:spPr>
                            <a:xfrm>
                              <a:off x="619125" y="1476375"/>
                              <a:ext cx="898525" cy="845820"/>
                            </a:xfrm>
                            <a:prstGeom prst="rect">
                              <a:avLst/>
                            </a:prstGeom>
                            <a:noFill/>
                            <a:ln>
                              <a:noFill/>
                            </a:ln>
                          </pic:spPr>
                        </pic:pic>
                        <pic:pic>
                          <pic:nvPicPr>
                            <pic:cNvPr descr="Afbeelding met tekst, Graphics, grafische vormgeving, Lettertype&#10;&#10;Automatisch gegenereerde beschrijving" id="6" name="Shape 6"/>
                            <pic:cNvPicPr preferRelativeResize="0"/>
                          </pic:nvPicPr>
                          <pic:blipFill rotWithShape="1">
                            <a:blip r:embed="rId9">
                              <a:alphaModFix/>
                            </a:blip>
                            <a:srcRect b="0" l="0" r="0" t="0"/>
                            <a:stretch/>
                          </pic:blipFill>
                          <pic:spPr>
                            <a:xfrm>
                              <a:off x="1962150" y="0"/>
                              <a:ext cx="1844040" cy="1426845"/>
                            </a:xfrm>
                            <a:prstGeom prst="rect">
                              <a:avLst/>
                            </a:prstGeom>
                            <a:noFill/>
                            <a:ln>
                              <a:noFill/>
                            </a:ln>
                          </pic:spPr>
                        </pic:pic>
                        <pic:pic>
                          <pic:nvPicPr>
                            <pic:cNvPr descr="Afbeelding met schermopname, Graphics, ontwerp&#10;&#10;Automatisch gegenereerde beschrijving" id="7" name="Shape 7"/>
                            <pic:cNvPicPr preferRelativeResize="0"/>
                          </pic:nvPicPr>
                          <pic:blipFill rotWithShape="1">
                            <a:blip r:embed="rId10">
                              <a:alphaModFix/>
                            </a:blip>
                            <a:srcRect b="0" l="0" r="0" t="0"/>
                            <a:stretch/>
                          </pic:blipFill>
                          <pic:spPr>
                            <a:xfrm>
                              <a:off x="0" y="133350"/>
                              <a:ext cx="2096135" cy="1341120"/>
                            </a:xfrm>
                            <a:prstGeom prst="rect">
                              <a:avLst/>
                            </a:prstGeom>
                            <a:noFill/>
                            <a:ln>
                              <a:noFill/>
                            </a:ln>
                          </pic:spPr>
                        </pic:pic>
                        <pic:pic>
                          <pic:nvPicPr>
                            <pic:cNvPr id="8" name="Shape 8"/>
                            <pic:cNvPicPr preferRelativeResize="0"/>
                          </pic:nvPicPr>
                          <pic:blipFill rotWithShape="1">
                            <a:blip r:embed="rId11">
                              <a:alphaModFix/>
                            </a:blip>
                            <a:srcRect b="0" l="0" r="0" t="0"/>
                            <a:stretch/>
                          </pic:blipFill>
                          <pic:spPr>
                            <a:xfrm>
                              <a:off x="3695700" y="361950"/>
                              <a:ext cx="1287145" cy="861060"/>
                            </a:xfrm>
                            <a:prstGeom prst="rect">
                              <a:avLst/>
                            </a:prstGeom>
                            <a:noFill/>
                            <a:ln>
                              <a:noFill/>
                            </a:ln>
                          </pic:spPr>
                        </pic:pic>
                        <pic:pic>
                          <pic:nvPicPr>
                            <pic:cNvPr descr="Afbeelding met ontwerp, schermopname, tekst, Graphics&#10;&#10;Automatisch gegenereerde beschrijving" id="9" name="Shape 9"/>
                            <pic:cNvPicPr preferRelativeResize="0"/>
                          </pic:nvPicPr>
                          <pic:blipFill rotWithShape="1">
                            <a:blip r:embed="rId12">
                              <a:alphaModFix/>
                            </a:blip>
                            <a:srcRect b="0" l="0" r="0" t="0"/>
                            <a:stretch/>
                          </pic:blipFill>
                          <pic:spPr>
                            <a:xfrm>
                              <a:off x="4429125" y="1409700"/>
                              <a:ext cx="906780" cy="906780"/>
                            </a:xfrm>
                            <a:prstGeom prst="rect">
                              <a:avLst/>
                            </a:prstGeom>
                            <a:noFill/>
                            <a:ln>
                              <a:noFill/>
                            </a:ln>
                          </pic:spPr>
                        </pic:pic>
                        <pic:pic>
                          <pic:nvPicPr>
                            <pic:cNvPr descr="Inqubator Leeuwarden | Startersdagen.com &amp; Ondernemersdagen.com" id="10" name="Shape 10"/>
                            <pic:cNvPicPr preferRelativeResize="0"/>
                          </pic:nvPicPr>
                          <pic:blipFill rotWithShape="1">
                            <a:blip r:embed="rId13">
                              <a:alphaModFix/>
                            </a:blip>
                            <a:srcRect b="0" l="0" r="0" t="0"/>
                            <a:stretch/>
                          </pic:blipFill>
                          <pic:spPr>
                            <a:xfrm>
                              <a:off x="1876425" y="1733550"/>
                              <a:ext cx="1973580" cy="48831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127000</wp:posOffset>
                </wp:positionV>
                <wp:extent cx="5335905" cy="2322195"/>
                <wp:effectExtent b="0" l="0" r="0" t="0"/>
                <wp:wrapNone/>
                <wp:docPr id="1958378595"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335905" cy="2322195"/>
                        </a:xfrm>
                        <a:prstGeom prst="rect"/>
                        <a:ln/>
                      </pic:spPr>
                    </pic:pic>
                  </a:graphicData>
                </a:graphic>
              </wp:anchor>
            </w:drawing>
          </mc:Fallback>
        </mc:AlternateContent>
      </w:r>
    </w:p>
    <w:p w:rsidR="00000000" w:rsidDel="00000000" w:rsidP="00000000" w:rsidRDefault="00000000" w:rsidRPr="00000000" w14:paraId="00000012">
      <w:pPr>
        <w:rPr>
          <w:b w:val="1"/>
          <w:color w:val="1a496a"/>
          <w:sz w:val="44"/>
          <w:szCs w:val="44"/>
        </w:rPr>
      </w:pPr>
      <w:r w:rsidDel="00000000" w:rsidR="00000000" w:rsidRPr="00000000">
        <w:rPr>
          <w:rtl w:val="0"/>
        </w:rPr>
      </w:r>
    </w:p>
    <w:p w:rsidR="00000000" w:rsidDel="00000000" w:rsidP="00000000" w:rsidRDefault="00000000" w:rsidRPr="00000000" w14:paraId="00000013">
      <w:pPr>
        <w:rPr>
          <w:b w:val="1"/>
          <w:color w:val="1a496a"/>
          <w:sz w:val="44"/>
          <w:szCs w:val="44"/>
        </w:rPr>
      </w:pPr>
      <w:r w:rsidDel="00000000" w:rsidR="00000000" w:rsidRPr="00000000">
        <w:rPr>
          <w:rtl w:val="0"/>
        </w:rPr>
      </w:r>
    </w:p>
    <w:p w:rsidR="00000000" w:rsidDel="00000000" w:rsidP="00000000" w:rsidRDefault="00000000" w:rsidRPr="00000000" w14:paraId="00000014">
      <w:pPr>
        <w:rPr>
          <w:b w:val="1"/>
          <w:color w:val="1a496a"/>
          <w:sz w:val="44"/>
          <w:szCs w:val="44"/>
        </w:rPr>
      </w:pPr>
      <w:r w:rsidDel="00000000" w:rsidR="00000000" w:rsidRPr="00000000">
        <w:rPr>
          <w:rtl w:val="0"/>
        </w:rPr>
      </w:r>
    </w:p>
    <w:p w:rsidR="00000000" w:rsidDel="00000000" w:rsidP="00000000" w:rsidRDefault="00000000" w:rsidRPr="00000000" w14:paraId="00000015">
      <w:pPr>
        <w:rPr>
          <w:b w:val="1"/>
          <w:color w:val="1a496a"/>
          <w:sz w:val="44"/>
          <w:szCs w:val="44"/>
        </w:rPr>
      </w:pPr>
      <w:r w:rsidDel="00000000" w:rsidR="00000000" w:rsidRPr="00000000">
        <w:rPr>
          <w:rtl w:val="0"/>
        </w:rPr>
      </w:r>
    </w:p>
    <w:p w:rsidR="00000000" w:rsidDel="00000000" w:rsidP="00000000" w:rsidRDefault="00000000" w:rsidRPr="00000000" w14:paraId="00000016">
      <w:pPr>
        <w:rPr>
          <w:b w:val="1"/>
          <w:color w:val="1a496a"/>
          <w:sz w:val="44"/>
          <w:szCs w:val="44"/>
        </w:rPr>
      </w:pPr>
      <w:r w:rsidDel="00000000" w:rsidR="00000000" w:rsidRPr="00000000">
        <w:rPr>
          <w:rtl w:val="0"/>
        </w:rPr>
      </w:r>
    </w:p>
    <w:p w:rsidR="00000000" w:rsidDel="00000000" w:rsidP="00000000" w:rsidRDefault="00000000" w:rsidRPr="00000000" w14:paraId="00000017">
      <w:pPr>
        <w:rPr>
          <w:b w:val="1"/>
          <w:color w:val="1a496a"/>
          <w:sz w:val="44"/>
          <w:szCs w:val="44"/>
        </w:rPr>
      </w:pPr>
      <w:r w:rsidDel="00000000" w:rsidR="00000000" w:rsidRPr="00000000">
        <w:rPr>
          <w:rtl w:val="0"/>
        </w:rPr>
      </w:r>
    </w:p>
    <w:p w:rsidR="00000000" w:rsidDel="00000000" w:rsidP="00000000" w:rsidRDefault="00000000" w:rsidRPr="00000000" w14:paraId="00000018">
      <w:pPr>
        <w:rPr>
          <w:b w:val="1"/>
          <w:color w:val="1a496a"/>
          <w:sz w:val="44"/>
          <w:szCs w:val="44"/>
        </w:rPr>
      </w:pPr>
      <w:r w:rsidDel="00000000" w:rsidR="00000000" w:rsidRPr="00000000">
        <w:rPr>
          <w:rtl w:val="0"/>
        </w:rPr>
      </w:r>
    </w:p>
    <w:p w:rsidR="00000000" w:rsidDel="00000000" w:rsidP="00000000" w:rsidRDefault="00000000" w:rsidRPr="00000000" w14:paraId="00000019">
      <w:pPr>
        <w:rPr>
          <w:b w:val="1"/>
          <w:color w:val="1a496a"/>
          <w:sz w:val="44"/>
          <w:szCs w:val="44"/>
        </w:rPr>
      </w:pPr>
      <w:r w:rsidDel="00000000" w:rsidR="00000000" w:rsidRPr="00000000">
        <w:rPr>
          <w:rtl w:val="0"/>
        </w:rPr>
      </w:r>
    </w:p>
    <w:p w:rsidR="00000000" w:rsidDel="00000000" w:rsidP="00000000" w:rsidRDefault="00000000" w:rsidRPr="00000000" w14:paraId="0000001A">
      <w:pPr>
        <w:rPr>
          <w:b w:val="1"/>
          <w:color w:val="1a496a"/>
          <w:sz w:val="44"/>
          <w:szCs w:val="44"/>
        </w:rPr>
      </w:pPr>
      <w:r w:rsidDel="00000000" w:rsidR="00000000" w:rsidRPr="00000000">
        <w:rPr>
          <w:rtl w:val="0"/>
        </w:rPr>
      </w:r>
    </w:p>
    <w:p w:rsidR="00000000" w:rsidDel="00000000" w:rsidP="00000000" w:rsidRDefault="00000000" w:rsidRPr="00000000" w14:paraId="0000001B">
      <w:pPr>
        <w:rPr>
          <w:rFonts w:ascii="Prompt" w:cs="Prompt" w:eastAsia="Prompt" w:hAnsi="Prompt"/>
          <w:i w:val="1"/>
          <w:sz w:val="15"/>
          <w:szCs w:val="15"/>
        </w:rPr>
      </w:pPr>
      <w:bookmarkStart w:colFirst="0" w:colLast="0" w:name="_heading=h.1pxezwc" w:id="1"/>
      <w:bookmarkEnd w:id="1"/>
      <w:r w:rsidDel="00000000" w:rsidR="00000000" w:rsidRPr="00000000">
        <w:rPr>
          <w:rFonts w:ascii="Prompt" w:cs="Prompt" w:eastAsia="Prompt" w:hAnsi="Prompt"/>
          <w:i w:val="1"/>
          <w:sz w:val="15"/>
          <w:szCs w:val="15"/>
          <w:rtl w:val="0"/>
        </w:rPr>
        <w:t xml:space="preserve">Funded by the European Union.  Views and opinions expressed are however those of the author(s) only and do not necessarily reflect those of the European Union or the granting authority, EISMEA.  Neither the European Union nor the granting authority can be held responsible for them.</w:t>
      </w:r>
      <w:r w:rsidDel="00000000" w:rsidR="00000000" w:rsidRPr="00000000">
        <w:drawing>
          <wp:anchor allowOverlap="1" behindDoc="0" distB="0" distT="0" distL="114300" distR="114300" hidden="0" layoutInCell="1" locked="0" relativeHeight="0" simplePos="0">
            <wp:simplePos x="0" y="0"/>
            <wp:positionH relativeFrom="column">
              <wp:posOffset>2963545</wp:posOffset>
            </wp:positionH>
            <wp:positionV relativeFrom="paragraph">
              <wp:posOffset>6350</wp:posOffset>
            </wp:positionV>
            <wp:extent cx="2797175" cy="587375"/>
            <wp:effectExtent b="0" l="0" r="0" t="0"/>
            <wp:wrapSquare wrapText="bothSides" distB="0" distT="0" distL="114300" distR="114300"/>
            <wp:docPr descr="Afbeelding met Lettertype, schermopname, Graphics, Elektrisch blauw&#10;&#10;Automatisch gegenereerde beschrijving" id="1958378597" name="image2.png"/>
            <a:graphic>
              <a:graphicData uri="http://schemas.openxmlformats.org/drawingml/2006/picture">
                <pic:pic>
                  <pic:nvPicPr>
                    <pic:cNvPr descr="Afbeelding met Lettertype, schermopname, Graphics, Elektrisch blauw&#10;&#10;Automatisch gegenereerde beschrijving" id="0" name="image2.png"/>
                    <pic:cNvPicPr preferRelativeResize="0"/>
                  </pic:nvPicPr>
                  <pic:blipFill>
                    <a:blip r:embed="rId15"/>
                    <a:srcRect b="0" l="0" r="0" t="0"/>
                    <a:stretch>
                      <a:fillRect/>
                    </a:stretch>
                  </pic:blipFill>
                  <pic:spPr>
                    <a:xfrm>
                      <a:off x="0" y="0"/>
                      <a:ext cx="2797175" cy="587375"/>
                    </a:xfrm>
                    <a:prstGeom prst="rect"/>
                    <a:ln/>
                  </pic:spPr>
                </pic:pic>
              </a:graphicData>
            </a:graphic>
          </wp:anchor>
        </w:drawing>
      </w:r>
    </w:p>
    <w:p w:rsidR="00000000" w:rsidDel="00000000" w:rsidP="00000000" w:rsidRDefault="00000000" w:rsidRPr="00000000" w14:paraId="0000001C">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1D">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1E">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1F">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0">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1">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2">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3">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4">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5">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6">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7">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8">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9">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A">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B">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C">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color w:val="808080"/>
          <w:sz w:val="16"/>
          <w:szCs w:val="16"/>
        </w:rPr>
      </w:pPr>
      <w:r w:rsidDel="00000000" w:rsidR="00000000" w:rsidRPr="00000000">
        <w:rPr>
          <w:rtl w:val="0"/>
        </w:rPr>
      </w:r>
    </w:p>
    <w:p w:rsidR="00000000" w:rsidDel="00000000" w:rsidP="00000000" w:rsidRDefault="00000000" w:rsidRPr="00000000" w14:paraId="0000002E">
      <w:pPr>
        <w:rPr>
          <w:b w:val="1"/>
          <w:sz w:val="32"/>
          <w:szCs w:val="32"/>
        </w:rPr>
      </w:pPr>
      <w:r w:rsidDel="00000000" w:rsidR="00000000" w:rsidRPr="00000000">
        <w:rPr>
          <w:b w:val="1"/>
          <w:sz w:val="32"/>
          <w:szCs w:val="32"/>
          <w:rtl w:val="0"/>
        </w:rPr>
        <w:t xml:space="preserve">Contenido</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1">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p2csry">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Introducción</w:t>
              <w:tab/>
              <w:t xml:space="preserve">4</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147n2z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1.Tipos de degradación medioambiental</w:t>
              <w:tab/>
              <w:t xml:space="preserve">4</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Contaminación</w:t>
              <w:tab/>
              <w:t xml:space="preserve">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Agotamiento de los recursos</w:t>
              <w:tab/>
              <w:t xml:space="preserve">5</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Destrucción del hábitat:</w:t>
              <w:tab/>
              <w:t xml:space="preserve">6</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Cambio climático</w:t>
              <w:tab/>
              <w:t xml:space="preserve">7</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Comprender el cambio climático</w:t>
              <w:tab/>
              <w:t xml:space="preserve">7</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Impactos del cambio climático</w:t>
              <w:tab/>
              <w:t xml:space="preserve">8</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2.El papel de las empresas en la degradación medioambiental</w:t>
              <w:tab/>
              <w:t xml:space="preserve">8</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Residuos industriales</w:t>
              <w:tab/>
              <w:t xml:space="preserve">9</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Emisiones</w:t>
              <w:tab/>
              <w:t xml:space="preserve">9</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Consumo excesivo de recursos</w:t>
              <w:tab/>
              <w:t xml:space="preserve">9</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Uso del suelo</w:t>
              <w:tab/>
              <w:t xml:space="preserve">10</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u6wntf">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3.Impacto de la degradación medioambiental en las empresas</w:t>
              <w:tab/>
              <w:t xml:space="preserve">10</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19c6y18">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4.Estrategias para que las empresas aborden la degradación medioambiental</w:t>
              <w:tab/>
              <w:t xml:space="preserve">12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tbugp1">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5.Recursos para seguir aprendiendo:</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bookmarkStart w:colFirst="0" w:colLast="0" w:name="_heading=h.2p2csry" w:id="2"/>
      <w:bookmarkEnd w:id="2"/>
      <w:r w:rsidDel="00000000" w:rsidR="00000000" w:rsidRPr="00000000">
        <w:rPr>
          <w:rtl w:val="0"/>
        </w:rPr>
        <w:t xml:space="preserve">Introducción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La degradación medioambiental se refiere al deterioro del medio ambiente mediante el agotamiento de recursos como el aire, el agua y el suelo; la destrucción de ecosistemas; la destrucción de hábitats; la extinción de la vida salvaje; y la contaminación. En un contexto empresarial, la degradación medioambiental suele ser el resultado de actividades y procesos industriales que no han considerado adecuadamente los impactos medioambientales. Es crucial que las empresas reconozcan su papel en la degradación medioambiental y tomen medidas proactivas para mitigar los impactos negativos. Al adoptar prácticas más sostenibles, las empresas no sólo pueden evitar los riesgos asociados a la degradación medioambiental, sino que también pueden disfrutar de una mejor reputación, cumplimiento legal, eficiencia operativa y, potencialmente, acceder a nuevos mercados y segmentos de clientes interesados en productos y servicios sostenibles.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1"/>
        <w:rPr/>
      </w:pPr>
      <w:bookmarkStart w:colFirst="0" w:colLast="0" w:name="_heading=h.147n2zr" w:id="3"/>
      <w:bookmarkEnd w:id="3"/>
      <w:r w:rsidDel="00000000" w:rsidR="00000000" w:rsidRPr="00000000">
        <w:rPr>
          <w:rtl w:val="0"/>
        </w:rPr>
        <w:t xml:space="preserve">1.Tipos de degradación medioambiental</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2"/>
        <w:rPr/>
      </w:pPr>
      <w:bookmarkStart w:colFirst="0" w:colLast="0" w:name="_heading=h.3o7alnk" w:id="4"/>
      <w:bookmarkEnd w:id="4"/>
      <w:r w:rsidDel="00000000" w:rsidR="00000000" w:rsidRPr="00000000">
        <w:rPr>
          <w:rtl w:val="0"/>
        </w:rPr>
        <w:t xml:space="preserve">Contaminación</w:t>
      </w:r>
    </w:p>
    <w:p w:rsidR="00000000" w:rsidDel="00000000" w:rsidP="00000000" w:rsidRDefault="00000000" w:rsidRPr="00000000" w14:paraId="0000004A">
      <w:pPr>
        <w:rPr/>
      </w:pPr>
      <w:r w:rsidDel="00000000" w:rsidR="00000000" w:rsidRPr="00000000">
        <w:rPr>
          <w:rtl w:val="0"/>
        </w:rPr>
        <w:t xml:space="preserve">La contaminación es un problema medioambiental crítico que requiere esfuerzos concertados de individuos, comunidades, gobiernos y empresas para abordarlo. Aunque plantea retos importantes para la salud y el medio ambiente, la creciente concienciación y los avances tecnológicos proporcionan vías para reducir y gestionar la contaminación de forma eficaz. A medida que la sociedad sigue desarrollándose e industrializándose, cada vez son más necesarias soluciones sostenibles e innovadoras para garantizar un medio ambiente sano y estable a las generaciones futuras.</w:t>
      </w:r>
    </w:p>
    <w:p w:rsidR="00000000" w:rsidDel="00000000" w:rsidP="00000000" w:rsidRDefault="00000000" w:rsidRPr="00000000" w14:paraId="0000004B">
      <w:pPr>
        <w:numPr>
          <w:ilvl w:val="0"/>
          <w:numId w:val="4"/>
        </w:numPr>
        <w:spacing w:after="0" w:afterAutospacing="0" w:before="240" w:lineRule="auto"/>
        <w:ind w:left="720" w:hanging="360"/>
        <w:jc w:val="left"/>
        <w:rPr/>
      </w:pPr>
      <w:r w:rsidDel="00000000" w:rsidR="00000000" w:rsidRPr="00000000">
        <w:rPr>
          <w:b w:val="1"/>
          <w:rtl w:val="0"/>
        </w:rPr>
        <w:t xml:space="preserve">Contaminación atmosférica:</w:t>
      </w:r>
    </w:p>
    <w:p w:rsidR="00000000" w:rsidDel="00000000" w:rsidP="00000000" w:rsidRDefault="00000000" w:rsidRPr="00000000" w14:paraId="0000004C">
      <w:pPr>
        <w:numPr>
          <w:ilvl w:val="1"/>
          <w:numId w:val="4"/>
        </w:numPr>
        <w:spacing w:after="0" w:afterAutospacing="0" w:before="0" w:beforeAutospacing="0" w:lineRule="auto"/>
        <w:ind w:left="1440" w:hanging="360"/>
        <w:jc w:val="left"/>
      </w:pPr>
      <w:r w:rsidDel="00000000" w:rsidR="00000000" w:rsidRPr="00000000">
        <w:rPr>
          <w:b w:val="1"/>
          <w:rtl w:val="0"/>
        </w:rPr>
        <w:t xml:space="preserve">Fuentes:</w:t>
      </w:r>
      <w:r w:rsidDel="00000000" w:rsidR="00000000" w:rsidRPr="00000000">
        <w:rPr>
          <w:rtl w:val="0"/>
        </w:rPr>
        <w:t xml:space="preserve"> Emisiones de procesos industriales, gases de escape de vehículos, quema de combustibles fósiles, actividades agrícolas e incineración de residuos.</w:t>
      </w:r>
    </w:p>
    <w:p w:rsidR="00000000" w:rsidDel="00000000" w:rsidP="00000000" w:rsidRDefault="00000000" w:rsidRPr="00000000" w14:paraId="0000004D">
      <w:pPr>
        <w:numPr>
          <w:ilvl w:val="1"/>
          <w:numId w:val="4"/>
        </w:numPr>
        <w:spacing w:after="0" w:afterAutospacing="0" w:before="0" w:beforeAutospacing="0" w:lineRule="auto"/>
        <w:ind w:left="1440" w:hanging="360"/>
        <w:jc w:val="left"/>
      </w:pPr>
      <w:r w:rsidDel="00000000" w:rsidR="00000000" w:rsidRPr="00000000">
        <w:rPr>
          <w:b w:val="1"/>
          <w:rtl w:val="0"/>
        </w:rPr>
        <w:t xml:space="preserve">Impactos:</w:t>
      </w:r>
      <w:r w:rsidDel="00000000" w:rsidR="00000000" w:rsidRPr="00000000">
        <w:rPr>
          <w:rtl w:val="0"/>
        </w:rPr>
        <w:t xml:space="preserve"> Enfermedades respiratorias y cardiovasculares en humanos, lluvia ácida, calentamiento global y daños a la fauna y los hábitats.</w:t>
      </w:r>
      <w:r w:rsidDel="00000000" w:rsidR="00000000" w:rsidRPr="00000000">
        <w:rPr>
          <w:rtl w:val="0"/>
        </w:rPr>
      </w:r>
    </w:p>
    <w:p w:rsidR="00000000" w:rsidDel="00000000" w:rsidP="00000000" w:rsidRDefault="00000000" w:rsidRPr="00000000" w14:paraId="0000004E">
      <w:pPr>
        <w:numPr>
          <w:ilvl w:val="0"/>
          <w:numId w:val="4"/>
        </w:numPr>
        <w:spacing w:after="0" w:afterAutospacing="0" w:before="0" w:beforeAutospacing="0" w:lineRule="auto"/>
        <w:ind w:left="720" w:hanging="360"/>
        <w:jc w:val="left"/>
        <w:rPr/>
      </w:pPr>
      <w:r w:rsidDel="00000000" w:rsidR="00000000" w:rsidRPr="00000000">
        <w:rPr>
          <w:b w:val="1"/>
          <w:rtl w:val="0"/>
        </w:rPr>
        <w:t xml:space="preserve">Contaminación del agua:</w:t>
      </w:r>
    </w:p>
    <w:p w:rsidR="00000000" w:rsidDel="00000000" w:rsidP="00000000" w:rsidRDefault="00000000" w:rsidRPr="00000000" w14:paraId="0000004F">
      <w:pPr>
        <w:numPr>
          <w:ilvl w:val="1"/>
          <w:numId w:val="4"/>
        </w:numPr>
        <w:spacing w:after="0" w:afterAutospacing="0" w:before="0" w:beforeAutospacing="0" w:lineRule="auto"/>
        <w:ind w:left="1440" w:hanging="360"/>
        <w:jc w:val="left"/>
      </w:pPr>
      <w:r w:rsidDel="00000000" w:rsidR="00000000" w:rsidRPr="00000000">
        <w:rPr>
          <w:b w:val="1"/>
          <w:rtl w:val="0"/>
        </w:rPr>
        <w:t xml:space="preserve">Fuentes:</w:t>
      </w:r>
      <w:r w:rsidDel="00000000" w:rsidR="00000000" w:rsidRPr="00000000">
        <w:rPr>
          <w:rtl w:val="0"/>
        </w:rPr>
        <w:t xml:space="preserve"> Vertido de productos químicos industriales y agrícolas, derrames de petróleo, aguas residuales no tratadas y basura.</w:t>
      </w:r>
    </w:p>
    <w:p w:rsidR="00000000" w:rsidDel="00000000" w:rsidP="00000000" w:rsidRDefault="00000000" w:rsidRPr="00000000" w14:paraId="00000050">
      <w:pPr>
        <w:numPr>
          <w:ilvl w:val="1"/>
          <w:numId w:val="4"/>
        </w:numPr>
        <w:spacing w:after="0" w:afterAutospacing="0" w:before="0" w:beforeAutospacing="0" w:lineRule="auto"/>
        <w:ind w:left="1440" w:hanging="360"/>
        <w:jc w:val="left"/>
      </w:pPr>
      <w:r w:rsidDel="00000000" w:rsidR="00000000" w:rsidRPr="00000000">
        <w:rPr>
          <w:b w:val="1"/>
          <w:rtl w:val="0"/>
        </w:rPr>
        <w:t xml:space="preserve">Impactos:</w:t>
      </w:r>
      <w:r w:rsidDel="00000000" w:rsidR="00000000" w:rsidRPr="00000000">
        <w:rPr>
          <w:rtl w:val="0"/>
        </w:rPr>
        <w:t xml:space="preserve"> Agua potable contaminada, destrucción de los ecosistemas acuáticos e interrupción de las cadenas alimentarias.</w:t>
      </w:r>
    </w:p>
    <w:p w:rsidR="00000000" w:rsidDel="00000000" w:rsidP="00000000" w:rsidRDefault="00000000" w:rsidRPr="00000000" w14:paraId="00000051">
      <w:pPr>
        <w:numPr>
          <w:ilvl w:val="0"/>
          <w:numId w:val="4"/>
        </w:numPr>
        <w:spacing w:after="0" w:afterAutospacing="0" w:before="0" w:beforeAutospacing="0" w:lineRule="auto"/>
        <w:ind w:left="720" w:hanging="360"/>
        <w:jc w:val="left"/>
        <w:rPr/>
      </w:pPr>
      <w:r w:rsidDel="00000000" w:rsidR="00000000" w:rsidRPr="00000000">
        <w:rPr>
          <w:b w:val="1"/>
          <w:rtl w:val="0"/>
        </w:rPr>
        <w:t xml:space="preserve">Contaminación del suelo:</w:t>
      </w:r>
    </w:p>
    <w:p w:rsidR="00000000" w:rsidDel="00000000" w:rsidP="00000000" w:rsidRDefault="00000000" w:rsidRPr="00000000" w14:paraId="00000052">
      <w:pPr>
        <w:numPr>
          <w:ilvl w:val="1"/>
          <w:numId w:val="4"/>
        </w:numPr>
        <w:spacing w:after="0" w:afterAutospacing="0" w:before="0" w:beforeAutospacing="0" w:lineRule="auto"/>
        <w:ind w:left="1440" w:hanging="360"/>
        <w:jc w:val="left"/>
      </w:pPr>
      <w:r w:rsidDel="00000000" w:rsidR="00000000" w:rsidRPr="00000000">
        <w:rPr>
          <w:b w:val="1"/>
          <w:rtl w:val="0"/>
        </w:rPr>
        <w:t xml:space="preserve">Fuentes:</w:t>
      </w:r>
      <w:r w:rsidDel="00000000" w:rsidR="00000000" w:rsidRPr="00000000">
        <w:rPr>
          <w:rtl w:val="0"/>
        </w:rPr>
        <w:t xml:space="preserve"> Uso de pesticidas y fertilizantes en la agricultura, vertidos industriales, eliminación inadecuada de residuos y actividades mineras.</w:t>
      </w:r>
    </w:p>
    <w:p w:rsidR="00000000" w:rsidDel="00000000" w:rsidP="00000000" w:rsidRDefault="00000000" w:rsidRPr="00000000" w14:paraId="00000053">
      <w:pPr>
        <w:numPr>
          <w:ilvl w:val="1"/>
          <w:numId w:val="4"/>
        </w:numPr>
        <w:spacing w:after="0" w:afterAutospacing="0" w:before="0" w:beforeAutospacing="0" w:lineRule="auto"/>
        <w:ind w:left="1440" w:hanging="360"/>
        <w:jc w:val="left"/>
      </w:pPr>
      <w:r w:rsidDel="00000000" w:rsidR="00000000" w:rsidRPr="00000000">
        <w:rPr>
          <w:b w:val="1"/>
          <w:rtl w:val="0"/>
        </w:rPr>
        <w:t xml:space="preserve">Impactos:</w:t>
      </w:r>
      <w:r w:rsidDel="00000000" w:rsidR="00000000" w:rsidRPr="00000000">
        <w:rPr>
          <w:rtl w:val="0"/>
        </w:rPr>
        <w:t xml:space="preserve"> Reducción de la fertilidad del suelo, alteración de su estructura, plantas y alimentos tóxicos, y contaminación del agua a través de los lixiviados del suelo.</w:t>
      </w:r>
    </w:p>
    <w:p w:rsidR="00000000" w:rsidDel="00000000" w:rsidP="00000000" w:rsidRDefault="00000000" w:rsidRPr="00000000" w14:paraId="00000054">
      <w:pPr>
        <w:numPr>
          <w:ilvl w:val="0"/>
          <w:numId w:val="4"/>
        </w:numPr>
        <w:spacing w:after="0" w:afterAutospacing="0" w:before="0" w:beforeAutospacing="0" w:lineRule="auto"/>
        <w:ind w:left="720" w:hanging="360"/>
        <w:jc w:val="left"/>
        <w:rPr/>
      </w:pPr>
      <w:r w:rsidDel="00000000" w:rsidR="00000000" w:rsidRPr="00000000">
        <w:rPr>
          <w:b w:val="1"/>
          <w:rtl w:val="0"/>
        </w:rPr>
        <w:t xml:space="preserve">Contaminación acústica:</w:t>
      </w:r>
    </w:p>
    <w:p w:rsidR="00000000" w:rsidDel="00000000" w:rsidP="00000000" w:rsidRDefault="00000000" w:rsidRPr="00000000" w14:paraId="00000055">
      <w:pPr>
        <w:numPr>
          <w:ilvl w:val="1"/>
          <w:numId w:val="4"/>
        </w:numPr>
        <w:spacing w:after="0" w:afterAutospacing="0" w:before="0" w:beforeAutospacing="0" w:lineRule="auto"/>
        <w:ind w:left="1440" w:hanging="360"/>
        <w:jc w:val="left"/>
      </w:pPr>
      <w:r w:rsidDel="00000000" w:rsidR="00000000" w:rsidRPr="00000000">
        <w:rPr>
          <w:b w:val="1"/>
          <w:rtl w:val="0"/>
        </w:rPr>
        <w:t xml:space="preserve">Fuentes:</w:t>
      </w:r>
      <w:r w:rsidDel="00000000" w:rsidR="00000000" w:rsidRPr="00000000">
        <w:rPr>
          <w:rtl w:val="0"/>
        </w:rPr>
        <w:t xml:space="preserve"> Actividades industriales y de construcción, sistemas de transporte, desarrollo urbano y actividades recreativas.</w:t>
      </w:r>
    </w:p>
    <w:p w:rsidR="00000000" w:rsidDel="00000000" w:rsidP="00000000" w:rsidRDefault="00000000" w:rsidRPr="00000000" w14:paraId="00000056">
      <w:pPr>
        <w:numPr>
          <w:ilvl w:val="1"/>
          <w:numId w:val="4"/>
        </w:numPr>
        <w:spacing w:after="0" w:afterAutospacing="0" w:before="0" w:beforeAutospacing="0" w:lineRule="auto"/>
        <w:ind w:left="1440" w:hanging="360"/>
        <w:jc w:val="left"/>
      </w:pPr>
      <w:r w:rsidDel="00000000" w:rsidR="00000000" w:rsidRPr="00000000">
        <w:rPr>
          <w:b w:val="1"/>
          <w:rtl w:val="0"/>
        </w:rPr>
        <w:t xml:space="preserve">Impactos:</w:t>
      </w:r>
      <w:r w:rsidDel="00000000" w:rsidR="00000000" w:rsidRPr="00000000">
        <w:rPr>
          <w:rtl w:val="0"/>
        </w:rPr>
        <w:t xml:space="preserve"> Pérdida de audición, enfermedades relacionadas con el estrés, hipertensión, trastornos del sueño y perturbación de la fauna.]=</w:t>
      </w:r>
    </w:p>
    <w:p w:rsidR="00000000" w:rsidDel="00000000" w:rsidP="00000000" w:rsidRDefault="00000000" w:rsidRPr="00000000" w14:paraId="00000057">
      <w:pPr>
        <w:numPr>
          <w:ilvl w:val="0"/>
          <w:numId w:val="4"/>
        </w:numPr>
        <w:ind w:left="720" w:hanging="360"/>
        <w:rPr/>
      </w:pPr>
      <w:r w:rsidDel="00000000" w:rsidR="00000000" w:rsidRPr="00000000">
        <w:rPr>
          <w:b w:val="1"/>
          <w:rtl w:val="0"/>
        </w:rPr>
        <w:t xml:space="preserve">Contaminación lumínica:</w:t>
      </w:r>
    </w:p>
    <w:p w:rsidR="00000000" w:rsidDel="00000000" w:rsidP="00000000" w:rsidRDefault="00000000" w:rsidRPr="00000000" w14:paraId="00000058">
      <w:pPr>
        <w:numPr>
          <w:ilvl w:val="1"/>
          <w:numId w:val="4"/>
        </w:numPr>
        <w:ind w:left="1440" w:hanging="360"/>
        <w:rPr/>
      </w:pPr>
      <w:r w:rsidDel="00000000" w:rsidR="00000000" w:rsidRPr="00000000">
        <w:rPr>
          <w:b w:val="1"/>
          <w:rtl w:val="0"/>
        </w:rPr>
        <w:t xml:space="preserve">Fuentes: </w:t>
      </w:r>
      <w:r w:rsidDel="00000000" w:rsidR="00000000" w:rsidRPr="00000000">
        <w:rPr>
          <w:rtl w:val="0"/>
        </w:rPr>
        <w:t xml:space="preserve">Iluminación excesiva de farolas, vallas publicitarias y edificios, sobre todo en zonas urbanas.</w:t>
      </w:r>
    </w:p>
    <w:p w:rsidR="00000000" w:rsidDel="00000000" w:rsidP="00000000" w:rsidRDefault="00000000" w:rsidRPr="00000000" w14:paraId="00000059">
      <w:pPr>
        <w:numPr>
          <w:ilvl w:val="1"/>
          <w:numId w:val="4"/>
        </w:numPr>
        <w:spacing w:after="0" w:afterAutospacing="0"/>
        <w:ind w:left="1440" w:hanging="360"/>
        <w:rPr/>
      </w:pPr>
      <w:r w:rsidDel="00000000" w:rsidR="00000000" w:rsidRPr="00000000">
        <w:rPr>
          <w:b w:val="1"/>
          <w:rtl w:val="0"/>
        </w:rPr>
        <w:t xml:space="preserve">Impactos: </w:t>
      </w:r>
      <w:r w:rsidDel="00000000" w:rsidR="00000000" w:rsidRPr="00000000">
        <w:rPr>
          <w:rtl w:val="0"/>
        </w:rPr>
        <w:t xml:space="preserve">Alteración de los ritmos circadianos en humanos y animales, que afecta a la salud y al comportamiento, y oscurece el cielo nocturno.</w:t>
      </w:r>
    </w:p>
    <w:p w:rsidR="00000000" w:rsidDel="00000000" w:rsidP="00000000" w:rsidRDefault="00000000" w:rsidRPr="00000000" w14:paraId="0000005A">
      <w:pPr>
        <w:numPr>
          <w:ilvl w:val="0"/>
          <w:numId w:val="4"/>
        </w:numPr>
        <w:spacing w:after="0" w:afterAutospacing="0" w:before="0" w:beforeAutospacing="0" w:lineRule="auto"/>
        <w:ind w:left="720" w:hanging="360"/>
        <w:jc w:val="left"/>
        <w:rPr/>
      </w:pPr>
      <w:r w:rsidDel="00000000" w:rsidR="00000000" w:rsidRPr="00000000">
        <w:rPr>
          <w:b w:val="1"/>
          <w:rtl w:val="0"/>
        </w:rPr>
        <w:t xml:space="preserve">Contaminación térmica:</w:t>
      </w:r>
    </w:p>
    <w:p w:rsidR="00000000" w:rsidDel="00000000" w:rsidP="00000000" w:rsidRDefault="00000000" w:rsidRPr="00000000" w14:paraId="0000005B">
      <w:pPr>
        <w:numPr>
          <w:ilvl w:val="1"/>
          <w:numId w:val="4"/>
        </w:numPr>
        <w:spacing w:after="0" w:afterAutospacing="0" w:before="0" w:beforeAutospacing="0" w:lineRule="auto"/>
        <w:ind w:left="1440" w:hanging="360"/>
        <w:jc w:val="left"/>
      </w:pPr>
      <w:r w:rsidDel="00000000" w:rsidR="00000000" w:rsidRPr="00000000">
        <w:rPr>
          <w:b w:val="1"/>
          <w:rtl w:val="0"/>
        </w:rPr>
        <w:t xml:space="preserve">Fuentes:</w:t>
      </w:r>
      <w:r w:rsidDel="00000000" w:rsidR="00000000" w:rsidRPr="00000000">
        <w:rPr>
          <w:rtl w:val="0"/>
        </w:rPr>
        <w:t xml:space="preserve"> Procesos industriales de refrigeración, deforestación y expansión urbana.</w:t>
      </w:r>
    </w:p>
    <w:p w:rsidR="00000000" w:rsidDel="00000000" w:rsidP="00000000" w:rsidRDefault="00000000" w:rsidRPr="00000000" w14:paraId="0000005C">
      <w:pPr>
        <w:numPr>
          <w:ilvl w:val="1"/>
          <w:numId w:val="4"/>
        </w:numPr>
        <w:spacing w:after="240" w:before="0" w:beforeAutospacing="0" w:lineRule="auto"/>
        <w:ind w:left="1440" w:hanging="360"/>
        <w:jc w:val="left"/>
      </w:pPr>
      <w:r w:rsidDel="00000000" w:rsidR="00000000" w:rsidRPr="00000000">
        <w:rPr>
          <w:b w:val="1"/>
          <w:rtl w:val="0"/>
        </w:rPr>
        <w:t xml:space="preserve">Impactos:</w:t>
      </w:r>
      <w:r w:rsidDel="00000000" w:rsidR="00000000" w:rsidRPr="00000000">
        <w:rPr>
          <w:rtl w:val="0"/>
        </w:rPr>
        <w:t xml:space="preserve"> Los cambios en la temperatura del agua pueden provocar una disminución de los niveles de oxígeno y afectar a la vida acuática.</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rPr/>
      </w:pPr>
      <w:bookmarkStart w:colFirst="0" w:colLast="0" w:name="_heading=h.23ckvvd" w:id="5"/>
      <w:bookmarkEnd w:id="5"/>
      <w:r w:rsidDel="00000000" w:rsidR="00000000" w:rsidRPr="00000000">
        <w:rPr>
          <w:rtl w:val="0"/>
        </w:rPr>
        <w:t xml:space="preserve">Agotamiento de los recursos</w:t>
      </w:r>
    </w:p>
    <w:p w:rsidR="00000000" w:rsidDel="00000000" w:rsidP="00000000" w:rsidRDefault="00000000" w:rsidRPr="00000000" w14:paraId="0000005F">
      <w:pPr>
        <w:rPr/>
      </w:pPr>
      <w:r w:rsidDel="00000000" w:rsidR="00000000" w:rsidRPr="00000000">
        <w:rPr>
          <w:rtl w:val="0"/>
        </w:rPr>
        <w:t xml:space="preserve">El agotamiento de los recursos se refiere al consumo de un recurso más rápido de lo que puede reponerse. Los recursos naturales, que incluyen el agua, el suelo, los combustibles fósiles, los minerales y los bosques, son esenciales para la supervivencia humana y el desarrollo económico. Sin embargo, la explotación y los modelos de consumo insostenibles provocan importantes retos medioambientales, económicos y sociales.</w:t>
      </w:r>
    </w:p>
    <w:p w:rsidR="00000000" w:rsidDel="00000000" w:rsidP="00000000" w:rsidRDefault="00000000" w:rsidRPr="00000000" w14:paraId="00000060">
      <w:pPr>
        <w:rPr>
          <w:b w:val="1"/>
        </w:rPr>
      </w:pPr>
      <w:r w:rsidDel="00000000" w:rsidR="00000000" w:rsidRPr="00000000">
        <w:rPr>
          <w:b w:val="1"/>
          <w:rtl w:val="0"/>
        </w:rPr>
        <w:t xml:space="preserve">Tipos de agotamiento de los recursos:</w:t>
      </w:r>
    </w:p>
    <w:p w:rsidR="00000000" w:rsidDel="00000000" w:rsidP="00000000" w:rsidRDefault="00000000" w:rsidRPr="00000000" w14:paraId="00000061">
      <w:pPr>
        <w:numPr>
          <w:ilvl w:val="0"/>
          <w:numId w:val="5"/>
        </w:numPr>
        <w:spacing w:after="0" w:afterAutospacing="0" w:before="240" w:lineRule="auto"/>
        <w:ind w:left="720" w:hanging="360"/>
        <w:jc w:val="left"/>
        <w:rPr>
          <w:rFonts w:ascii="Arial" w:cs="Arial" w:eastAsia="Arial" w:hAnsi="Arial"/>
        </w:rPr>
      </w:pPr>
      <w:r w:rsidDel="00000000" w:rsidR="00000000" w:rsidRPr="00000000">
        <w:rPr>
          <w:b w:val="1"/>
          <w:rtl w:val="0"/>
        </w:rPr>
        <w:t xml:space="preserve">El agotamiento del agua:</w:t>
      </w:r>
    </w:p>
    <w:p w:rsidR="00000000" w:rsidDel="00000000" w:rsidP="00000000" w:rsidRDefault="00000000" w:rsidRPr="00000000" w14:paraId="00000062">
      <w:pPr>
        <w:numPr>
          <w:ilvl w:val="1"/>
          <w:numId w:val="5"/>
        </w:numPr>
        <w:spacing w:after="0" w:afterAutospacing="0" w:before="0" w:beforeAutospacing="0" w:lineRule="auto"/>
        <w:ind w:left="1440" w:hanging="360"/>
        <w:jc w:val="left"/>
      </w:pPr>
      <w:r w:rsidDel="00000000" w:rsidR="00000000" w:rsidRPr="00000000">
        <w:rPr>
          <w:b w:val="1"/>
          <w:rtl w:val="0"/>
        </w:rPr>
        <w:t xml:space="preserve">Acuíferos y ríos:</w:t>
      </w:r>
      <w:r w:rsidDel="00000000" w:rsidR="00000000" w:rsidRPr="00000000">
        <w:rPr>
          <w:rtl w:val="0"/>
        </w:rPr>
        <w:t xml:space="preserve"> La extracción excesiva para uso agrícola, industrial y doméstico provoca el descenso de las capas freáticas y la desecación de los ríos.</w:t>
      </w:r>
    </w:p>
    <w:p w:rsidR="00000000" w:rsidDel="00000000" w:rsidP="00000000" w:rsidRDefault="00000000" w:rsidRPr="00000000" w14:paraId="00000063">
      <w:pPr>
        <w:numPr>
          <w:ilvl w:val="1"/>
          <w:numId w:val="5"/>
        </w:numPr>
        <w:spacing w:after="0" w:afterAutospacing="0" w:before="0" w:beforeAutospacing="0" w:lineRule="auto"/>
        <w:ind w:left="1440" w:hanging="360"/>
        <w:jc w:val="left"/>
      </w:pPr>
      <w:r w:rsidDel="00000000" w:rsidR="00000000" w:rsidRPr="00000000">
        <w:rPr>
          <w:b w:val="1"/>
          <w:rtl w:val="0"/>
        </w:rPr>
        <w:t xml:space="preserve">Contaminación:</w:t>
      </w:r>
      <w:r w:rsidDel="00000000" w:rsidR="00000000" w:rsidRPr="00000000">
        <w:rPr>
          <w:rtl w:val="0"/>
        </w:rPr>
        <w:t xml:space="preserve"> La contaminación por residuos industriales, agrícolas y domésticos reduce la disponibilidad de agua limpia.</w:t>
      </w:r>
    </w:p>
    <w:p w:rsidR="00000000" w:rsidDel="00000000" w:rsidP="00000000" w:rsidRDefault="00000000" w:rsidRPr="00000000" w14:paraId="00000064">
      <w:pPr>
        <w:numPr>
          <w:ilvl w:val="1"/>
          <w:numId w:val="5"/>
        </w:numPr>
        <w:spacing w:after="0" w:afterAutospacing="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Afecta al suministro de agua potable, a la productividad agrícola y a los ecosistemas naturales.</w:t>
      </w:r>
    </w:p>
    <w:p w:rsidR="00000000" w:rsidDel="00000000" w:rsidP="00000000" w:rsidRDefault="00000000" w:rsidRPr="00000000" w14:paraId="00000065">
      <w:pPr>
        <w:numPr>
          <w:ilvl w:val="0"/>
          <w:numId w:val="5"/>
        </w:numPr>
        <w:spacing w:after="0" w:afterAutospacing="0" w:before="0" w:beforeAutospacing="0" w:lineRule="auto"/>
        <w:ind w:left="720" w:hanging="360"/>
        <w:jc w:val="left"/>
        <w:rPr>
          <w:rFonts w:ascii="Arial" w:cs="Arial" w:eastAsia="Arial" w:hAnsi="Arial"/>
        </w:rPr>
      </w:pPr>
      <w:r w:rsidDel="00000000" w:rsidR="00000000" w:rsidRPr="00000000">
        <w:rPr>
          <w:b w:val="1"/>
          <w:rtl w:val="0"/>
        </w:rPr>
        <w:t xml:space="preserve">Agotamiento del suelo:</w:t>
      </w:r>
    </w:p>
    <w:p w:rsidR="00000000" w:rsidDel="00000000" w:rsidP="00000000" w:rsidRDefault="00000000" w:rsidRPr="00000000" w14:paraId="00000066">
      <w:pPr>
        <w:numPr>
          <w:ilvl w:val="1"/>
          <w:numId w:val="5"/>
        </w:numPr>
        <w:spacing w:after="0" w:afterAutospacing="0" w:before="0" w:beforeAutospacing="0" w:lineRule="auto"/>
        <w:ind w:left="1440" w:hanging="360"/>
        <w:jc w:val="left"/>
      </w:pPr>
      <w:r w:rsidDel="00000000" w:rsidR="00000000" w:rsidRPr="00000000">
        <w:rPr>
          <w:b w:val="1"/>
          <w:rtl w:val="0"/>
        </w:rPr>
        <w:t xml:space="preserve">Erosión:</w:t>
      </w:r>
      <w:r w:rsidDel="00000000" w:rsidR="00000000" w:rsidRPr="00000000">
        <w:rPr>
          <w:rtl w:val="0"/>
        </w:rPr>
        <w:t xml:space="preserve"> Causada por la deforestación, el pastoreo excesivo y las malas prácticas agrícolas.</w:t>
      </w:r>
    </w:p>
    <w:p w:rsidR="00000000" w:rsidDel="00000000" w:rsidP="00000000" w:rsidRDefault="00000000" w:rsidRPr="00000000" w14:paraId="00000067">
      <w:pPr>
        <w:numPr>
          <w:ilvl w:val="1"/>
          <w:numId w:val="5"/>
        </w:numPr>
        <w:spacing w:after="0" w:afterAutospacing="0" w:before="0" w:beforeAutospacing="0" w:lineRule="auto"/>
        <w:ind w:left="1440" w:hanging="360"/>
        <w:jc w:val="left"/>
      </w:pPr>
      <w:r w:rsidDel="00000000" w:rsidR="00000000" w:rsidRPr="00000000">
        <w:rPr>
          <w:b w:val="1"/>
          <w:rtl w:val="0"/>
        </w:rPr>
        <w:t xml:space="preserve">Pérdida de nutrientes:</w:t>
      </w:r>
      <w:r w:rsidDel="00000000" w:rsidR="00000000" w:rsidRPr="00000000">
        <w:rPr>
          <w:rtl w:val="0"/>
        </w:rPr>
        <w:t xml:space="preserve"> El uso excesivo de la tierra sin permitir un tiempo de recuperación o una fertilización adecuada da lugar a suelos pobres en nutrientes.</w:t>
      </w:r>
    </w:p>
    <w:p w:rsidR="00000000" w:rsidDel="00000000" w:rsidP="00000000" w:rsidRDefault="00000000" w:rsidRPr="00000000" w14:paraId="00000068">
      <w:pPr>
        <w:numPr>
          <w:ilvl w:val="1"/>
          <w:numId w:val="5"/>
        </w:numPr>
        <w:spacing w:after="0" w:afterAutospacing="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Reduce el rendimiento agrícola, contribuye a la inseguridad alimentaria y disminuye la capacidad del suelo para absorber carbono.</w:t>
      </w:r>
    </w:p>
    <w:p w:rsidR="00000000" w:rsidDel="00000000" w:rsidP="00000000" w:rsidRDefault="00000000" w:rsidRPr="00000000" w14:paraId="00000069">
      <w:pPr>
        <w:numPr>
          <w:ilvl w:val="0"/>
          <w:numId w:val="5"/>
        </w:numPr>
        <w:spacing w:after="0" w:afterAutospacing="0" w:before="0" w:beforeAutospacing="0" w:lineRule="auto"/>
        <w:ind w:left="720" w:hanging="360"/>
        <w:jc w:val="left"/>
        <w:rPr>
          <w:rFonts w:ascii="Arial" w:cs="Arial" w:eastAsia="Arial" w:hAnsi="Arial"/>
        </w:rPr>
      </w:pPr>
      <w:r w:rsidDel="00000000" w:rsidR="00000000" w:rsidRPr="00000000">
        <w:rPr>
          <w:b w:val="1"/>
          <w:rtl w:val="0"/>
        </w:rPr>
        <w:t xml:space="preserve">Agotamiento de los combustibles fósiles:</w:t>
      </w:r>
    </w:p>
    <w:p w:rsidR="00000000" w:rsidDel="00000000" w:rsidP="00000000" w:rsidRDefault="00000000" w:rsidRPr="00000000" w14:paraId="0000006A">
      <w:pPr>
        <w:numPr>
          <w:ilvl w:val="1"/>
          <w:numId w:val="5"/>
        </w:numPr>
        <w:spacing w:after="0" w:afterAutospacing="0" w:before="0" w:beforeAutospacing="0" w:lineRule="auto"/>
        <w:ind w:left="1440" w:hanging="360"/>
        <w:jc w:val="left"/>
      </w:pPr>
      <w:r w:rsidDel="00000000" w:rsidR="00000000" w:rsidRPr="00000000">
        <w:rPr>
          <w:b w:val="1"/>
          <w:rtl w:val="0"/>
        </w:rPr>
        <w:t xml:space="preserve">Consumo excesivo:</w:t>
      </w:r>
      <w:r w:rsidDel="00000000" w:rsidR="00000000" w:rsidRPr="00000000">
        <w:rPr>
          <w:rtl w:val="0"/>
        </w:rPr>
        <w:t xml:space="preserve"> Uso excesivo de petróleo, carbón y gas natural para la producción de energía.</w:t>
      </w:r>
    </w:p>
    <w:p w:rsidR="00000000" w:rsidDel="00000000" w:rsidP="00000000" w:rsidRDefault="00000000" w:rsidRPr="00000000" w14:paraId="0000006B">
      <w:pPr>
        <w:numPr>
          <w:ilvl w:val="1"/>
          <w:numId w:val="5"/>
        </w:numPr>
        <w:spacing w:after="0" w:afterAutospacing="0" w:before="0" w:beforeAutospacing="0" w:lineRule="auto"/>
        <w:ind w:left="1440" w:hanging="360"/>
        <w:jc w:val="left"/>
      </w:pPr>
      <w:r w:rsidDel="00000000" w:rsidR="00000000" w:rsidRPr="00000000">
        <w:rPr>
          <w:b w:val="1"/>
          <w:rtl w:val="0"/>
        </w:rPr>
        <w:t xml:space="preserve">Producción máxima:</w:t>
      </w:r>
      <w:r w:rsidDel="00000000" w:rsidR="00000000" w:rsidRPr="00000000">
        <w:rPr>
          <w:rtl w:val="0"/>
        </w:rPr>
        <w:t xml:space="preserve"> Algunos creen que ciertos combustibles, como el petróleo, alcanzarán un punto máximo de producción seguido de un declive (Pico Petrolero).</w:t>
      </w:r>
    </w:p>
    <w:p w:rsidR="00000000" w:rsidDel="00000000" w:rsidP="00000000" w:rsidRDefault="00000000" w:rsidRPr="00000000" w14:paraId="0000006C">
      <w:pPr>
        <w:numPr>
          <w:ilvl w:val="1"/>
          <w:numId w:val="5"/>
        </w:numPr>
        <w:spacing w:after="0" w:afterAutospacing="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Provoca crisis energéticas, inestabilidad económica y un aumento de la exploración de zonas sensibles desde el punto de vista medioambiental.</w:t>
      </w:r>
    </w:p>
    <w:p w:rsidR="00000000" w:rsidDel="00000000" w:rsidP="00000000" w:rsidRDefault="00000000" w:rsidRPr="00000000" w14:paraId="0000006D">
      <w:pPr>
        <w:numPr>
          <w:ilvl w:val="0"/>
          <w:numId w:val="5"/>
        </w:numPr>
        <w:spacing w:after="0" w:afterAutospacing="0" w:before="0" w:beforeAutospacing="0" w:lineRule="auto"/>
        <w:ind w:left="720" w:hanging="360"/>
        <w:jc w:val="left"/>
        <w:rPr>
          <w:rFonts w:ascii="Arial" w:cs="Arial" w:eastAsia="Arial" w:hAnsi="Arial"/>
        </w:rPr>
      </w:pPr>
      <w:r w:rsidDel="00000000" w:rsidR="00000000" w:rsidRPr="00000000">
        <w:rPr>
          <w:b w:val="1"/>
          <w:rtl w:val="0"/>
        </w:rPr>
        <w:t xml:space="preserve">Agotamiento de los minerales:</w:t>
      </w:r>
    </w:p>
    <w:p w:rsidR="00000000" w:rsidDel="00000000" w:rsidP="00000000" w:rsidRDefault="00000000" w:rsidRPr="00000000" w14:paraId="0000006E">
      <w:pPr>
        <w:numPr>
          <w:ilvl w:val="1"/>
          <w:numId w:val="5"/>
        </w:numPr>
        <w:spacing w:after="0" w:afterAutospacing="0" w:before="0" w:beforeAutospacing="0" w:lineRule="auto"/>
        <w:ind w:left="1440" w:hanging="360"/>
        <w:jc w:val="left"/>
      </w:pPr>
      <w:r w:rsidDel="00000000" w:rsidR="00000000" w:rsidRPr="00000000">
        <w:rPr>
          <w:b w:val="1"/>
          <w:rtl w:val="0"/>
        </w:rPr>
        <w:t xml:space="preserve">Extracción:</w:t>
      </w:r>
      <w:r w:rsidDel="00000000" w:rsidR="00000000" w:rsidRPr="00000000">
        <w:rPr>
          <w:rtl w:val="0"/>
        </w:rPr>
        <w:t xml:space="preserve"> Extracción de minerales como el oro, el cobre y los elementos de tierras raras.</w:t>
      </w:r>
    </w:p>
    <w:p w:rsidR="00000000" w:rsidDel="00000000" w:rsidP="00000000" w:rsidRDefault="00000000" w:rsidRPr="00000000" w14:paraId="0000006F">
      <w:pPr>
        <w:numPr>
          <w:ilvl w:val="1"/>
          <w:numId w:val="5"/>
        </w:numPr>
        <w:spacing w:after="0" w:afterAutospacing="0" w:before="0" w:beforeAutospacing="0" w:lineRule="auto"/>
        <w:ind w:left="1440" w:hanging="360"/>
        <w:jc w:val="left"/>
      </w:pPr>
      <w:r w:rsidDel="00000000" w:rsidR="00000000" w:rsidRPr="00000000">
        <w:rPr>
          <w:b w:val="1"/>
          <w:rtl w:val="0"/>
        </w:rPr>
        <w:t xml:space="preserve">Disponibilidad limitada:</w:t>
      </w:r>
      <w:r w:rsidDel="00000000" w:rsidR="00000000" w:rsidRPr="00000000">
        <w:rPr>
          <w:rtl w:val="0"/>
        </w:rPr>
        <w:t xml:space="preserve"> Muchos minerales tienen una disponibilidad finita y se encuentran en zonas concretas, lo que provoca tensiones geopolíticas y daños medioambientales.</w:t>
      </w:r>
    </w:p>
    <w:p w:rsidR="00000000" w:rsidDel="00000000" w:rsidP="00000000" w:rsidRDefault="00000000" w:rsidRPr="00000000" w14:paraId="00000070">
      <w:pPr>
        <w:numPr>
          <w:ilvl w:val="1"/>
          <w:numId w:val="5"/>
        </w:numPr>
        <w:spacing w:after="24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Afecta a varias industrias, desde la electrónica a la construcción, y puede provocar conflictos por los recursos.</w:t>
      </w:r>
    </w:p>
    <w:p w:rsidR="00000000" w:rsidDel="00000000" w:rsidP="00000000" w:rsidRDefault="00000000" w:rsidRPr="00000000" w14:paraId="00000071">
      <w:pPr>
        <w:spacing w:after="240" w:before="240" w:lineRule="auto"/>
        <w:ind w:left="1440" w:firstLine="0"/>
        <w:jc w:val="left"/>
        <w:rPr/>
      </w:pPr>
      <w:r w:rsidDel="00000000" w:rsidR="00000000" w:rsidRPr="00000000">
        <w:rPr>
          <w:rtl w:val="0"/>
        </w:rPr>
      </w:r>
    </w:p>
    <w:p w:rsidR="00000000" w:rsidDel="00000000" w:rsidP="00000000" w:rsidRDefault="00000000" w:rsidRPr="00000000" w14:paraId="00000072">
      <w:pPr>
        <w:numPr>
          <w:ilvl w:val="0"/>
          <w:numId w:val="5"/>
        </w:numPr>
        <w:spacing w:after="0" w:afterAutospacing="0" w:before="240" w:lineRule="auto"/>
        <w:ind w:left="720" w:hanging="360"/>
        <w:jc w:val="left"/>
        <w:rPr>
          <w:rFonts w:ascii="Arial" w:cs="Arial" w:eastAsia="Arial" w:hAnsi="Arial"/>
        </w:rPr>
      </w:pPr>
      <w:r w:rsidDel="00000000" w:rsidR="00000000" w:rsidRPr="00000000">
        <w:rPr>
          <w:b w:val="1"/>
          <w:rtl w:val="0"/>
        </w:rPr>
        <w:t xml:space="preserve">Agotamiento de los bosques:</w:t>
      </w:r>
    </w:p>
    <w:p w:rsidR="00000000" w:rsidDel="00000000" w:rsidP="00000000" w:rsidRDefault="00000000" w:rsidRPr="00000000" w14:paraId="00000073">
      <w:pPr>
        <w:numPr>
          <w:ilvl w:val="1"/>
          <w:numId w:val="5"/>
        </w:numPr>
        <w:spacing w:after="0" w:afterAutospacing="0" w:before="0" w:beforeAutospacing="0" w:lineRule="auto"/>
        <w:ind w:left="1440" w:hanging="360"/>
        <w:jc w:val="left"/>
      </w:pPr>
      <w:r w:rsidDel="00000000" w:rsidR="00000000" w:rsidRPr="00000000">
        <w:rPr>
          <w:b w:val="1"/>
          <w:rtl w:val="0"/>
        </w:rPr>
        <w:t xml:space="preserve">Deforestación: </w:t>
      </w:r>
      <w:r w:rsidDel="00000000" w:rsidR="00000000" w:rsidRPr="00000000">
        <w:rPr>
          <w:rtl w:val="0"/>
        </w:rPr>
        <w:t xml:space="preserve">Tala de bosques para la agricultura, la explotación forestal y la urbanización.</w:t>
      </w:r>
    </w:p>
    <w:p w:rsidR="00000000" w:rsidDel="00000000" w:rsidP="00000000" w:rsidRDefault="00000000" w:rsidRPr="00000000" w14:paraId="00000074">
      <w:pPr>
        <w:numPr>
          <w:ilvl w:val="1"/>
          <w:numId w:val="5"/>
        </w:numPr>
        <w:spacing w:after="0" w:afterAutospacing="0" w:before="0" w:beforeAutospacing="0" w:lineRule="auto"/>
        <w:ind w:left="1440" w:hanging="360"/>
        <w:jc w:val="left"/>
      </w:pPr>
      <w:r w:rsidDel="00000000" w:rsidR="00000000" w:rsidRPr="00000000">
        <w:rPr>
          <w:b w:val="1"/>
          <w:rtl w:val="0"/>
        </w:rPr>
        <w:t xml:space="preserve">Degradación: </w:t>
      </w:r>
      <w:r w:rsidDel="00000000" w:rsidR="00000000" w:rsidRPr="00000000">
        <w:rPr>
          <w:rtl w:val="0"/>
        </w:rPr>
        <w:t xml:space="preserve">Fragmentación y contaminación que afectan a la salud de los bosques y a la biodiversidad.</w:t>
      </w:r>
    </w:p>
    <w:p w:rsidR="00000000" w:rsidDel="00000000" w:rsidP="00000000" w:rsidRDefault="00000000" w:rsidRPr="00000000" w14:paraId="00000075">
      <w:pPr>
        <w:numPr>
          <w:ilvl w:val="1"/>
          <w:numId w:val="5"/>
        </w:numPr>
        <w:spacing w:after="240" w:before="0" w:beforeAutospacing="0" w:lineRule="auto"/>
        <w:ind w:left="1440" w:hanging="360"/>
        <w:jc w:val="left"/>
      </w:pPr>
      <w:r w:rsidDel="00000000" w:rsidR="00000000" w:rsidRPr="00000000">
        <w:rPr>
          <w:b w:val="1"/>
          <w:rtl w:val="0"/>
        </w:rPr>
        <w:t xml:space="preserve">Impacto: </w:t>
      </w:r>
      <w:r w:rsidDel="00000000" w:rsidR="00000000" w:rsidRPr="00000000">
        <w:rPr>
          <w:rtl w:val="0"/>
        </w:rPr>
        <w:t xml:space="preserve">Pérdida de biodiversidad, alteración de los ciclos del agua y contribución al cambio climático debido a la reducción de la captura de carbono.</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2"/>
        <w:rPr/>
      </w:pPr>
      <w:bookmarkStart w:colFirst="0" w:colLast="0" w:name="_heading=h.ihv636" w:id="6"/>
      <w:bookmarkEnd w:id="6"/>
      <w:r w:rsidDel="00000000" w:rsidR="00000000" w:rsidRPr="00000000">
        <w:rPr>
          <w:rtl w:val="0"/>
        </w:rPr>
        <w:t xml:space="preserve">Destrucción del hábitat:</w:t>
      </w:r>
    </w:p>
    <w:p w:rsidR="00000000" w:rsidDel="00000000" w:rsidP="00000000" w:rsidRDefault="00000000" w:rsidRPr="00000000" w14:paraId="00000078">
      <w:pPr>
        <w:rPr/>
      </w:pPr>
      <w:r w:rsidDel="00000000" w:rsidR="00000000" w:rsidRPr="00000000">
        <w:rPr>
          <w:rtl w:val="0"/>
        </w:rPr>
        <w:t xml:space="preserve">Pérdida de ecosistemas debido a la expansión urbana, la deforestación y las actividades industriales. La destrucción de hábitats se refiere al proceso en el que el hábitat natural se vuelve incapaz de sustentar a las especies presentes; este proceso provoca el desplazamiento o la destrucción de su biodiversidad. Los hábitats se destruyen por diversas actividades humanas y, una vez perdidos, las complejas interacciones entre la flora y la fauna que componen la comunidad ecológica pueden alterarse irrevocablemente.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Tipos de destrucción del hábitat:</w:t>
      </w:r>
    </w:p>
    <w:p w:rsidR="00000000" w:rsidDel="00000000" w:rsidP="00000000" w:rsidRDefault="00000000" w:rsidRPr="00000000" w14:paraId="0000007B">
      <w:pPr>
        <w:numPr>
          <w:ilvl w:val="0"/>
          <w:numId w:val="7"/>
        </w:numPr>
        <w:spacing w:after="0" w:afterAutospacing="0" w:before="240" w:lineRule="auto"/>
        <w:ind w:left="720" w:hanging="360"/>
        <w:jc w:val="left"/>
        <w:rPr>
          <w:rFonts w:ascii="Arial" w:cs="Arial" w:eastAsia="Arial" w:hAnsi="Arial"/>
        </w:rPr>
      </w:pPr>
      <w:r w:rsidDel="00000000" w:rsidR="00000000" w:rsidRPr="00000000">
        <w:rPr>
          <w:b w:val="1"/>
          <w:rtl w:val="0"/>
        </w:rPr>
        <w:t xml:space="preserve">Deforestación:</w:t>
      </w:r>
    </w:p>
    <w:p w:rsidR="00000000" w:rsidDel="00000000" w:rsidP="00000000" w:rsidRDefault="00000000" w:rsidRPr="00000000" w14:paraId="0000007C">
      <w:pPr>
        <w:numPr>
          <w:ilvl w:val="1"/>
          <w:numId w:val="7"/>
        </w:numPr>
        <w:spacing w:after="0" w:afterAutospacing="0" w:before="0" w:beforeAutospacing="0" w:lineRule="auto"/>
        <w:ind w:left="1440" w:hanging="360"/>
        <w:jc w:val="left"/>
      </w:pPr>
      <w:r w:rsidDel="00000000" w:rsidR="00000000" w:rsidRPr="00000000">
        <w:rPr>
          <w:b w:val="1"/>
          <w:rtl w:val="0"/>
        </w:rPr>
        <w:t xml:space="preserve">Descripción:</w:t>
      </w:r>
      <w:r w:rsidDel="00000000" w:rsidR="00000000" w:rsidRPr="00000000">
        <w:rPr>
          <w:rtl w:val="0"/>
        </w:rPr>
        <w:t xml:space="preserve"> Eliminación de grandes extensiones de bosque para obtener madera, para la agricultura y para el desarrollo urbano.</w:t>
      </w:r>
    </w:p>
    <w:p w:rsidR="00000000" w:rsidDel="00000000" w:rsidP="00000000" w:rsidRDefault="00000000" w:rsidRPr="00000000" w14:paraId="0000007D">
      <w:pPr>
        <w:numPr>
          <w:ilvl w:val="1"/>
          <w:numId w:val="7"/>
        </w:numPr>
        <w:spacing w:after="24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Pérdida de biodiversidad, alteración de los ciclos del agua y contribución al cambio climático debido a la reducción de la captura de carbono.</w:t>
      </w:r>
    </w:p>
    <w:p w:rsidR="00000000" w:rsidDel="00000000" w:rsidP="00000000" w:rsidRDefault="00000000" w:rsidRPr="00000000" w14:paraId="0000007E">
      <w:pPr>
        <w:spacing w:after="240" w:before="240" w:lineRule="auto"/>
        <w:ind w:left="720" w:firstLine="0"/>
        <w:jc w:val="left"/>
        <w:rPr/>
      </w:pPr>
      <w:r w:rsidDel="00000000" w:rsidR="00000000" w:rsidRPr="00000000">
        <w:rPr>
          <w:rtl w:val="0"/>
        </w:rPr>
      </w:r>
    </w:p>
    <w:p w:rsidR="00000000" w:rsidDel="00000000" w:rsidP="00000000" w:rsidRDefault="00000000" w:rsidRPr="00000000" w14:paraId="0000007F">
      <w:pPr>
        <w:numPr>
          <w:ilvl w:val="0"/>
          <w:numId w:val="7"/>
        </w:numPr>
        <w:spacing w:after="0" w:afterAutospacing="0" w:before="240" w:lineRule="auto"/>
        <w:ind w:left="720" w:hanging="360"/>
        <w:jc w:val="left"/>
        <w:rPr>
          <w:rFonts w:ascii="Arial" w:cs="Arial" w:eastAsia="Arial" w:hAnsi="Arial"/>
        </w:rPr>
      </w:pPr>
      <w:r w:rsidDel="00000000" w:rsidR="00000000" w:rsidRPr="00000000">
        <w:rPr>
          <w:b w:val="1"/>
          <w:rtl w:val="0"/>
        </w:rPr>
        <w:t xml:space="preserve">Urbanización:</w:t>
      </w:r>
    </w:p>
    <w:p w:rsidR="00000000" w:rsidDel="00000000" w:rsidP="00000000" w:rsidRDefault="00000000" w:rsidRPr="00000000" w14:paraId="00000080">
      <w:pPr>
        <w:numPr>
          <w:ilvl w:val="1"/>
          <w:numId w:val="7"/>
        </w:numPr>
        <w:spacing w:after="0" w:afterAutospacing="0" w:before="0" w:beforeAutospacing="0" w:lineRule="auto"/>
        <w:ind w:left="1440" w:hanging="360"/>
        <w:jc w:val="left"/>
      </w:pPr>
      <w:r w:rsidDel="00000000" w:rsidR="00000000" w:rsidRPr="00000000">
        <w:rPr>
          <w:b w:val="1"/>
          <w:rtl w:val="0"/>
        </w:rPr>
        <w:t xml:space="preserve">Descripción:</w:t>
      </w:r>
      <w:r w:rsidDel="00000000" w:rsidR="00000000" w:rsidRPr="00000000">
        <w:rPr>
          <w:rtl w:val="0"/>
        </w:rPr>
        <w:t xml:space="preserve"> La expansión de ciudades y pueblos a menudo conduce a la destrucción de hábitats naturales.</w:t>
      </w:r>
    </w:p>
    <w:p w:rsidR="00000000" w:rsidDel="00000000" w:rsidP="00000000" w:rsidRDefault="00000000" w:rsidRPr="00000000" w14:paraId="00000081">
      <w:pPr>
        <w:numPr>
          <w:ilvl w:val="1"/>
          <w:numId w:val="7"/>
        </w:numPr>
        <w:spacing w:after="0" w:afterAutospacing="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Pérdida de ecosistemas, aumento de la contaminación y creación de “islas de calor” que afectan a los climas locales.</w:t>
      </w:r>
    </w:p>
    <w:p w:rsidR="00000000" w:rsidDel="00000000" w:rsidP="00000000" w:rsidRDefault="00000000" w:rsidRPr="00000000" w14:paraId="00000082">
      <w:pPr>
        <w:numPr>
          <w:ilvl w:val="0"/>
          <w:numId w:val="7"/>
        </w:numPr>
        <w:spacing w:after="0" w:afterAutospacing="0" w:before="0" w:beforeAutospacing="0" w:lineRule="auto"/>
        <w:ind w:left="720" w:hanging="360"/>
        <w:jc w:val="left"/>
        <w:rPr>
          <w:rFonts w:ascii="Arial" w:cs="Arial" w:eastAsia="Arial" w:hAnsi="Arial"/>
        </w:rPr>
      </w:pPr>
      <w:r w:rsidDel="00000000" w:rsidR="00000000" w:rsidRPr="00000000">
        <w:rPr>
          <w:b w:val="1"/>
          <w:rtl w:val="0"/>
        </w:rPr>
        <w:t xml:space="preserve">Expansión agrícola:</w:t>
      </w:r>
    </w:p>
    <w:p w:rsidR="00000000" w:rsidDel="00000000" w:rsidP="00000000" w:rsidRDefault="00000000" w:rsidRPr="00000000" w14:paraId="00000083">
      <w:pPr>
        <w:numPr>
          <w:ilvl w:val="1"/>
          <w:numId w:val="7"/>
        </w:numPr>
        <w:spacing w:after="0" w:afterAutospacing="0" w:before="0" w:beforeAutospacing="0" w:lineRule="auto"/>
        <w:ind w:left="1440" w:hanging="360"/>
        <w:jc w:val="left"/>
      </w:pPr>
      <w:r w:rsidDel="00000000" w:rsidR="00000000" w:rsidRPr="00000000">
        <w:rPr>
          <w:b w:val="1"/>
          <w:rtl w:val="0"/>
        </w:rPr>
        <w:t xml:space="preserve">Descripción:</w:t>
      </w:r>
      <w:r w:rsidDel="00000000" w:rsidR="00000000" w:rsidRPr="00000000">
        <w:rPr>
          <w:rtl w:val="0"/>
        </w:rPr>
        <w:t xml:space="preserve"> Conversión de zonas silvestres en tierras agrícolas mediante prácticas como la tala y la quema y el monocultivo intensivo.</w:t>
      </w:r>
    </w:p>
    <w:p w:rsidR="00000000" w:rsidDel="00000000" w:rsidP="00000000" w:rsidRDefault="00000000" w:rsidRPr="00000000" w14:paraId="00000084">
      <w:pPr>
        <w:numPr>
          <w:ilvl w:val="1"/>
          <w:numId w:val="7"/>
        </w:numPr>
        <w:spacing w:after="0" w:afterAutospacing="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Degradación del suelo, pérdida de flora y fauna naturales y alteración de los regímenes hídricos naturales.</w:t>
      </w:r>
    </w:p>
    <w:p w:rsidR="00000000" w:rsidDel="00000000" w:rsidP="00000000" w:rsidRDefault="00000000" w:rsidRPr="00000000" w14:paraId="00000085">
      <w:pPr>
        <w:numPr>
          <w:ilvl w:val="0"/>
          <w:numId w:val="7"/>
        </w:numPr>
        <w:spacing w:after="0" w:afterAutospacing="0" w:before="0" w:beforeAutospacing="0" w:lineRule="auto"/>
        <w:ind w:left="720" w:hanging="360"/>
        <w:jc w:val="left"/>
        <w:rPr>
          <w:rFonts w:ascii="Arial" w:cs="Arial" w:eastAsia="Arial" w:hAnsi="Arial"/>
        </w:rPr>
      </w:pPr>
      <w:r w:rsidDel="00000000" w:rsidR="00000000" w:rsidRPr="00000000">
        <w:rPr>
          <w:b w:val="1"/>
          <w:rtl w:val="0"/>
        </w:rPr>
        <w:t xml:space="preserve">Minería y extracción:</w:t>
      </w:r>
    </w:p>
    <w:p w:rsidR="00000000" w:rsidDel="00000000" w:rsidP="00000000" w:rsidRDefault="00000000" w:rsidRPr="00000000" w14:paraId="00000086">
      <w:pPr>
        <w:numPr>
          <w:ilvl w:val="1"/>
          <w:numId w:val="7"/>
        </w:numPr>
        <w:spacing w:after="0" w:afterAutospacing="0" w:before="0" w:beforeAutospacing="0" w:lineRule="auto"/>
        <w:ind w:left="1440" w:hanging="360"/>
        <w:jc w:val="left"/>
      </w:pPr>
      <w:r w:rsidDel="00000000" w:rsidR="00000000" w:rsidRPr="00000000">
        <w:rPr>
          <w:b w:val="1"/>
          <w:rtl w:val="0"/>
        </w:rPr>
        <w:t xml:space="preserve">Descripción:</w:t>
      </w:r>
      <w:r w:rsidDel="00000000" w:rsidR="00000000" w:rsidRPr="00000000">
        <w:rPr>
          <w:rtl w:val="0"/>
        </w:rPr>
        <w:t xml:space="preserve"> La extracción de tierra para obtener minerales y combustibles puede alterar o destruir significativamente el paisaje local.</w:t>
      </w:r>
    </w:p>
    <w:p w:rsidR="00000000" w:rsidDel="00000000" w:rsidP="00000000" w:rsidRDefault="00000000" w:rsidRPr="00000000" w14:paraId="00000087">
      <w:pPr>
        <w:numPr>
          <w:ilvl w:val="1"/>
          <w:numId w:val="7"/>
        </w:numPr>
        <w:spacing w:after="0" w:afterAutospacing="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Erosión del suelo, contaminación del agua y pérdida de biodiversidad.</w:t>
      </w:r>
    </w:p>
    <w:p w:rsidR="00000000" w:rsidDel="00000000" w:rsidP="00000000" w:rsidRDefault="00000000" w:rsidRPr="00000000" w14:paraId="00000088">
      <w:pPr>
        <w:numPr>
          <w:ilvl w:val="0"/>
          <w:numId w:val="7"/>
        </w:numPr>
        <w:spacing w:after="0" w:afterAutospacing="0" w:before="0" w:beforeAutospacing="0" w:lineRule="auto"/>
        <w:ind w:left="720" w:hanging="360"/>
        <w:jc w:val="left"/>
        <w:rPr>
          <w:rFonts w:ascii="Arial" w:cs="Arial" w:eastAsia="Arial" w:hAnsi="Arial"/>
        </w:rPr>
      </w:pPr>
      <w:r w:rsidDel="00000000" w:rsidR="00000000" w:rsidRPr="00000000">
        <w:rPr>
          <w:b w:val="1"/>
          <w:rtl w:val="0"/>
        </w:rPr>
        <w:t xml:space="preserve">Desarrollo de Infraestructuras:</w:t>
      </w:r>
    </w:p>
    <w:p w:rsidR="00000000" w:rsidDel="00000000" w:rsidP="00000000" w:rsidRDefault="00000000" w:rsidRPr="00000000" w14:paraId="00000089">
      <w:pPr>
        <w:numPr>
          <w:ilvl w:val="1"/>
          <w:numId w:val="7"/>
        </w:numPr>
        <w:spacing w:after="0" w:afterAutospacing="0" w:before="0" w:beforeAutospacing="0" w:lineRule="auto"/>
        <w:ind w:left="1440" w:hanging="360"/>
        <w:jc w:val="left"/>
      </w:pPr>
      <w:r w:rsidDel="00000000" w:rsidR="00000000" w:rsidRPr="00000000">
        <w:rPr>
          <w:b w:val="1"/>
          <w:rtl w:val="0"/>
        </w:rPr>
        <w:t xml:space="preserve">Descripción:</w:t>
      </w:r>
      <w:r w:rsidDel="00000000" w:rsidR="00000000" w:rsidRPr="00000000">
        <w:rPr>
          <w:rtl w:val="0"/>
        </w:rPr>
        <w:t xml:space="preserve"> La construcción de carreteras, presas y otras infraestructuras puede fragmentar los hábitats y alterar los paisajes.</w:t>
      </w:r>
    </w:p>
    <w:p w:rsidR="00000000" w:rsidDel="00000000" w:rsidP="00000000" w:rsidRDefault="00000000" w:rsidRPr="00000000" w14:paraId="0000008A">
      <w:pPr>
        <w:numPr>
          <w:ilvl w:val="1"/>
          <w:numId w:val="7"/>
        </w:numPr>
        <w:spacing w:after="240" w:before="0" w:beforeAutospacing="0" w:lineRule="auto"/>
        <w:ind w:left="1440" w:hanging="360"/>
        <w:jc w:val="left"/>
      </w:pPr>
      <w:r w:rsidDel="00000000" w:rsidR="00000000" w:rsidRPr="00000000">
        <w:rPr>
          <w:b w:val="1"/>
          <w:rtl w:val="0"/>
        </w:rPr>
        <w:t xml:space="preserve">Impacto:</w:t>
      </w:r>
      <w:r w:rsidDel="00000000" w:rsidR="00000000" w:rsidRPr="00000000">
        <w:rPr>
          <w:rtl w:val="0"/>
        </w:rPr>
        <w:t xml:space="preserve"> Interrupción de las rutas migratorias de los animales, alteración del caudal de los ríos y aumento de los conflictos entre el hombre y la fauna.</w:t>
      </w:r>
    </w:p>
    <w:p w:rsidR="00000000" w:rsidDel="00000000" w:rsidP="00000000" w:rsidRDefault="00000000" w:rsidRPr="00000000" w14:paraId="0000008B">
      <w:pPr>
        <w:pStyle w:val="Heading2"/>
        <w:rPr/>
      </w:pPr>
      <w:r w:rsidDel="00000000" w:rsidR="00000000" w:rsidRPr="00000000">
        <w:rPr>
          <w:rtl w:val="0"/>
        </w:rPr>
      </w:r>
    </w:p>
    <w:p w:rsidR="00000000" w:rsidDel="00000000" w:rsidP="00000000" w:rsidRDefault="00000000" w:rsidRPr="00000000" w14:paraId="0000008C">
      <w:pPr>
        <w:pStyle w:val="Heading2"/>
        <w:rPr/>
      </w:pPr>
      <w:bookmarkStart w:colFirst="0" w:colLast="0" w:name="_heading=h.32hioqz" w:id="7"/>
      <w:bookmarkEnd w:id="7"/>
      <w:r w:rsidDel="00000000" w:rsidR="00000000" w:rsidRPr="00000000">
        <w:rPr>
          <w:rtl w:val="0"/>
        </w:rPr>
        <w:t xml:space="preserve">Cambio climático</w:t>
      </w:r>
    </w:p>
    <w:p w:rsidR="00000000" w:rsidDel="00000000" w:rsidP="00000000" w:rsidRDefault="00000000" w:rsidRPr="00000000" w14:paraId="0000008D">
      <w:pPr>
        <w:rPr/>
      </w:pPr>
      <w:r w:rsidDel="00000000" w:rsidR="00000000" w:rsidRPr="00000000">
        <w:rPr>
          <w:rtl w:val="0"/>
        </w:rPr>
        <w:t xml:space="preserve">Calentamiento global causado por las emisiones de gases de efecto invernadero procedentes de procesos industriales. El cambio climático se refiere a cambios significativos en las temperaturas globales y en los patrones meteorológicos a lo largo del tiempo. Aunque el clima ha cambiado a lo largo de la historia de la Tierra, el rápido calentamiento actual se debe principalmente a las actividades humanas.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3"/>
        <w:ind w:firstLine="720"/>
        <w:rPr/>
      </w:pPr>
      <w:bookmarkStart w:colFirst="0" w:colLast="0" w:name="_heading=h.1hmsyys" w:id="8"/>
      <w:bookmarkEnd w:id="8"/>
      <w:r w:rsidDel="00000000" w:rsidR="00000000" w:rsidRPr="00000000">
        <w:rPr>
          <w:rtl w:val="0"/>
        </w:rPr>
        <w:t xml:space="preserve">Comprender el cambio climático</w:t>
      </w:r>
    </w:p>
    <w:p w:rsidR="00000000" w:rsidDel="00000000" w:rsidP="00000000" w:rsidRDefault="00000000" w:rsidRPr="00000000" w14:paraId="00000090">
      <w:pPr>
        <w:rPr/>
      </w:pPr>
      <w:r w:rsidDel="00000000" w:rsidR="00000000" w:rsidRPr="00000000">
        <w:rPr>
          <w:b w:val="1"/>
          <w:rtl w:val="0"/>
        </w:rPr>
        <w:t xml:space="preserve">Causas del cambio climático:</w:t>
      </w:r>
      <w:r w:rsidDel="00000000" w:rsidR="00000000" w:rsidRPr="00000000">
        <w:rPr>
          <w:rtl w:val="0"/>
        </w:rPr>
      </w:r>
    </w:p>
    <w:p w:rsidR="00000000" w:rsidDel="00000000" w:rsidP="00000000" w:rsidRDefault="00000000" w:rsidRPr="00000000" w14:paraId="00000091">
      <w:pPr>
        <w:numPr>
          <w:ilvl w:val="1"/>
          <w:numId w:val="8"/>
        </w:numPr>
        <w:spacing w:after="0" w:afterAutospacing="0" w:before="240" w:lineRule="auto"/>
        <w:ind w:left="1440" w:hanging="360"/>
        <w:jc w:val="left"/>
      </w:pPr>
      <w:r w:rsidDel="00000000" w:rsidR="00000000" w:rsidRPr="00000000">
        <w:rPr>
          <w:b w:val="1"/>
          <w:rtl w:val="0"/>
        </w:rPr>
        <w:t xml:space="preserve">Emisiones de gases de efecto invernadero:</w:t>
      </w:r>
      <w:r w:rsidDel="00000000" w:rsidR="00000000" w:rsidRPr="00000000">
        <w:rPr>
          <w:rtl w:val="0"/>
        </w:rPr>
        <w:t xml:space="preserve"> La quema de combustibles fósiles (como el carbón, el petróleo y el gas natural) para obtener energía, la deforestación, los procesos industriales y algunas prácticas agrícolas aumentan las concentraciones de gases de efecto invernadero en la atmósfera.</w:t>
      </w:r>
    </w:p>
    <w:p w:rsidR="00000000" w:rsidDel="00000000" w:rsidP="00000000" w:rsidRDefault="00000000" w:rsidRPr="00000000" w14:paraId="00000092">
      <w:pPr>
        <w:numPr>
          <w:ilvl w:val="1"/>
          <w:numId w:val="8"/>
        </w:numPr>
        <w:spacing w:after="0" w:afterAutospacing="0" w:before="0" w:beforeAutospacing="0" w:lineRule="auto"/>
        <w:ind w:left="1440" w:hanging="360"/>
        <w:jc w:val="left"/>
      </w:pPr>
      <w:r w:rsidDel="00000000" w:rsidR="00000000" w:rsidRPr="00000000">
        <w:rPr>
          <w:b w:val="1"/>
          <w:rtl w:val="0"/>
        </w:rPr>
        <w:t xml:space="preserve">Deforestación:</w:t>
      </w:r>
      <w:r w:rsidDel="00000000" w:rsidR="00000000" w:rsidRPr="00000000">
        <w:rPr>
          <w:rtl w:val="0"/>
        </w:rPr>
        <w:t xml:space="preserve"> Los árboles absorben dióxido de carbono (CO2), uno de los gases de efecto invernadero. Cuando se talan los bosques, no sólo se reduce esta capacidad de absorción de CO2, sino que el carbono almacenado en los árboles se libera de nuevo a la atmósfera.</w:t>
      </w:r>
      <w:r w:rsidDel="00000000" w:rsidR="00000000" w:rsidRPr="00000000">
        <w:rPr>
          <w:rtl w:val="0"/>
        </w:rPr>
      </w:r>
    </w:p>
    <w:p w:rsidR="00000000" w:rsidDel="00000000" w:rsidP="00000000" w:rsidRDefault="00000000" w:rsidRPr="00000000" w14:paraId="00000093">
      <w:pPr>
        <w:numPr>
          <w:ilvl w:val="1"/>
          <w:numId w:val="8"/>
        </w:numPr>
        <w:ind w:left="1440" w:hanging="360"/>
        <w:rPr/>
      </w:pPr>
      <w:r w:rsidDel="00000000" w:rsidR="00000000" w:rsidRPr="00000000">
        <w:rPr>
          <w:b w:val="1"/>
          <w:rtl w:val="0"/>
        </w:rPr>
        <w:t xml:space="preserve">La agricultura: </w:t>
      </w:r>
      <w:r w:rsidDel="00000000" w:rsidR="00000000" w:rsidRPr="00000000">
        <w:rPr>
          <w:rtl w:val="0"/>
        </w:rPr>
        <w:t xml:space="preserve">El metano producido por el ganado y otras prácticas agrícolas, junto con el óxido nitroso de los suelos fertilizados, son gases de efecto invernadero significativos.</w:t>
      </w:r>
      <w:r w:rsidDel="00000000" w:rsidR="00000000" w:rsidRPr="00000000">
        <w:rPr>
          <w:rtl w:val="0"/>
        </w:rPr>
      </w:r>
    </w:p>
    <w:p w:rsidR="00000000" w:rsidDel="00000000" w:rsidP="00000000" w:rsidRDefault="00000000" w:rsidRPr="00000000" w14:paraId="00000094">
      <w:pPr>
        <w:rPr/>
      </w:pPr>
      <w:r w:rsidDel="00000000" w:rsidR="00000000" w:rsidRPr="00000000">
        <w:rPr>
          <w:b w:val="1"/>
          <w:rtl w:val="0"/>
        </w:rPr>
        <w:t xml:space="preserve">Efectos del Cambio Climático:</w:t>
      </w:r>
      <w:r w:rsidDel="00000000" w:rsidR="00000000" w:rsidRPr="00000000">
        <w:rPr>
          <w:rtl w:val="0"/>
        </w:rPr>
      </w:r>
    </w:p>
    <w:p w:rsidR="00000000" w:rsidDel="00000000" w:rsidP="00000000" w:rsidRDefault="00000000" w:rsidRPr="00000000" w14:paraId="00000095">
      <w:pPr>
        <w:numPr>
          <w:ilvl w:val="1"/>
          <w:numId w:val="8"/>
        </w:numPr>
        <w:spacing w:after="0" w:afterAutospacing="0"/>
        <w:ind w:left="1440" w:hanging="360"/>
        <w:rPr/>
      </w:pPr>
      <w:r w:rsidDel="00000000" w:rsidR="00000000" w:rsidRPr="00000000">
        <w:rPr>
          <w:b w:val="1"/>
          <w:rtl w:val="0"/>
        </w:rPr>
        <w:t xml:space="preserve">Aumento de la Temperatura:</w:t>
      </w:r>
      <w:r w:rsidDel="00000000" w:rsidR="00000000" w:rsidRPr="00000000">
        <w:rPr>
          <w:rtl w:val="0"/>
        </w:rPr>
        <w:t xml:space="preserve"> Las temperaturas globales están aumentando, con impactos significativos en los patrones climáticos, el deshielo polar y el nivel del mar.</w:t>
      </w:r>
    </w:p>
    <w:p w:rsidR="00000000" w:rsidDel="00000000" w:rsidP="00000000" w:rsidRDefault="00000000" w:rsidRPr="00000000" w14:paraId="00000096">
      <w:pPr>
        <w:numPr>
          <w:ilvl w:val="1"/>
          <w:numId w:val="8"/>
        </w:numPr>
        <w:spacing w:after="0" w:afterAutospacing="0" w:before="0" w:beforeAutospacing="0" w:lineRule="auto"/>
        <w:ind w:left="1440" w:hanging="360"/>
        <w:jc w:val="left"/>
      </w:pPr>
      <w:r w:rsidDel="00000000" w:rsidR="00000000" w:rsidRPr="00000000">
        <w:rPr>
          <w:b w:val="1"/>
          <w:rtl w:val="0"/>
        </w:rPr>
        <w:t xml:space="preserve">Cambio de los patrones meteorológicos:</w:t>
      </w:r>
      <w:r w:rsidDel="00000000" w:rsidR="00000000" w:rsidRPr="00000000">
        <w:rPr>
          <w:rtl w:val="0"/>
        </w:rPr>
        <w:t xml:space="preserve"> Mayor frecuencia de fenómenos meteorológicos extremos como huracanes, sequías, inundaciones e incendios forestales.</w:t>
      </w:r>
    </w:p>
    <w:p w:rsidR="00000000" w:rsidDel="00000000" w:rsidP="00000000" w:rsidRDefault="00000000" w:rsidRPr="00000000" w14:paraId="00000097">
      <w:pPr>
        <w:numPr>
          <w:ilvl w:val="1"/>
          <w:numId w:val="8"/>
        </w:numPr>
        <w:spacing w:after="0" w:afterAutospacing="0" w:before="0" w:beforeAutospacing="0" w:lineRule="auto"/>
        <w:ind w:left="1440" w:hanging="360"/>
        <w:jc w:val="left"/>
      </w:pPr>
      <w:r w:rsidDel="00000000" w:rsidR="00000000" w:rsidRPr="00000000">
        <w:rPr>
          <w:b w:val="1"/>
          <w:rtl w:val="0"/>
        </w:rPr>
        <w:t xml:space="preserve">Acidificación de los océanos:</w:t>
      </w:r>
      <w:r w:rsidDel="00000000" w:rsidR="00000000" w:rsidRPr="00000000">
        <w:rPr>
          <w:rtl w:val="0"/>
        </w:rPr>
        <w:t xml:space="preserve"> El aumento de los niveles de CO2 está provocando una mayor acidez en los océanos, lo que afecta a la vida marina y a los ecosistemas.</w:t>
      </w:r>
    </w:p>
    <w:p w:rsidR="00000000" w:rsidDel="00000000" w:rsidP="00000000" w:rsidRDefault="00000000" w:rsidRPr="00000000" w14:paraId="00000098">
      <w:pPr>
        <w:numPr>
          <w:ilvl w:val="1"/>
          <w:numId w:val="8"/>
        </w:numPr>
        <w:spacing w:after="240" w:before="0" w:beforeAutospacing="0" w:lineRule="auto"/>
        <w:ind w:left="1440" w:hanging="360"/>
        <w:jc w:val="left"/>
      </w:pPr>
      <w:r w:rsidDel="00000000" w:rsidR="00000000" w:rsidRPr="00000000">
        <w:rPr>
          <w:b w:val="1"/>
          <w:rtl w:val="0"/>
        </w:rPr>
        <w:t xml:space="preserve">Impacto sobre los ecosistemas y las especies:</w:t>
      </w:r>
      <w:r w:rsidDel="00000000" w:rsidR="00000000" w:rsidRPr="00000000">
        <w:rPr>
          <w:rtl w:val="0"/>
        </w:rPr>
        <w:t xml:space="preserve"> El cambio climático está afectando a los hábitats naturales, provocando migraciones de especies, problemas de adaptación y extinciones en algunos casos.</w:t>
      </w:r>
    </w:p>
    <w:p w:rsidR="00000000" w:rsidDel="00000000" w:rsidP="00000000" w:rsidRDefault="00000000" w:rsidRPr="00000000" w14:paraId="00000099">
      <w:pPr>
        <w:ind w:left="0" w:firstLine="0"/>
        <w:rPr>
          <w:b w:val="1"/>
        </w:rPr>
      </w:pPr>
      <w:r w:rsidDel="00000000" w:rsidR="00000000" w:rsidRPr="00000000">
        <w:rPr>
          <w:rtl w:val="0"/>
        </w:rPr>
      </w:r>
    </w:p>
    <w:p w:rsidR="00000000" w:rsidDel="00000000" w:rsidP="00000000" w:rsidRDefault="00000000" w:rsidRPr="00000000" w14:paraId="0000009A">
      <w:pPr>
        <w:ind w:left="1440" w:firstLine="0"/>
        <w:rPr/>
      </w:pPr>
      <w:r w:rsidDel="00000000" w:rsidR="00000000" w:rsidRPr="00000000">
        <w:rPr>
          <w:rtl w:val="0"/>
        </w:rPr>
      </w:r>
    </w:p>
    <w:p w:rsidR="00000000" w:rsidDel="00000000" w:rsidP="00000000" w:rsidRDefault="00000000" w:rsidRPr="00000000" w14:paraId="0000009B">
      <w:pPr>
        <w:pStyle w:val="Heading3"/>
        <w:ind w:firstLine="720"/>
        <w:rPr/>
      </w:pPr>
      <w:bookmarkStart w:colFirst="0" w:colLast="0" w:name="_heading=h.41mghml" w:id="9"/>
      <w:bookmarkEnd w:id="9"/>
      <w:r w:rsidDel="00000000" w:rsidR="00000000" w:rsidRPr="00000000">
        <w:rPr>
          <w:rtl w:val="0"/>
        </w:rPr>
        <w:t xml:space="preserve">Impactos del cambio climático</w:t>
      </w:r>
    </w:p>
    <w:p w:rsidR="00000000" w:rsidDel="00000000" w:rsidP="00000000" w:rsidRDefault="00000000" w:rsidRPr="00000000" w14:paraId="0000009C">
      <w:pPr>
        <w:numPr>
          <w:ilvl w:val="0"/>
          <w:numId w:val="9"/>
        </w:numPr>
        <w:spacing w:after="0" w:afterAutospacing="0" w:before="240" w:lineRule="auto"/>
        <w:ind w:left="720" w:hanging="360"/>
        <w:jc w:val="left"/>
      </w:pPr>
      <w:r w:rsidDel="00000000" w:rsidR="00000000" w:rsidRPr="00000000">
        <w:rPr>
          <w:b w:val="1"/>
          <w:rtl w:val="0"/>
        </w:rPr>
        <w:t xml:space="preserve">Medioambientales:</w:t>
      </w:r>
      <w:r w:rsidDel="00000000" w:rsidR="00000000" w:rsidRPr="00000000">
        <w:rPr>
          <w:rtl w:val="0"/>
        </w:rPr>
        <w:t xml:space="preserve"> Deshielo de los casquetes polares, subida del nivel del mar, aumento de las olas de calor y otros fenómenos meteorológicos graves.</w:t>
      </w:r>
    </w:p>
    <w:p w:rsidR="00000000" w:rsidDel="00000000" w:rsidP="00000000" w:rsidRDefault="00000000" w:rsidRPr="00000000" w14:paraId="0000009D">
      <w:pPr>
        <w:numPr>
          <w:ilvl w:val="0"/>
          <w:numId w:val="9"/>
        </w:numPr>
        <w:spacing w:after="0" w:afterAutospacing="0" w:before="0" w:beforeAutospacing="0" w:lineRule="auto"/>
        <w:ind w:left="720" w:hanging="360"/>
        <w:jc w:val="left"/>
      </w:pPr>
      <w:r w:rsidDel="00000000" w:rsidR="00000000" w:rsidRPr="00000000">
        <w:rPr>
          <w:b w:val="1"/>
          <w:rtl w:val="0"/>
        </w:rPr>
        <w:t xml:space="preserve">Económicos:</w:t>
      </w:r>
      <w:r w:rsidDel="00000000" w:rsidR="00000000" w:rsidRPr="00000000">
        <w:rPr>
          <w:rtl w:val="0"/>
        </w:rPr>
        <w:t xml:space="preserve"> Daños a propiedades e infraestructuras, interrupción de las cadenas de suministro y aumento de los costes de refrigeración o calefacción.</w:t>
      </w:r>
    </w:p>
    <w:p w:rsidR="00000000" w:rsidDel="00000000" w:rsidP="00000000" w:rsidRDefault="00000000" w:rsidRPr="00000000" w14:paraId="0000009E">
      <w:pPr>
        <w:numPr>
          <w:ilvl w:val="0"/>
          <w:numId w:val="9"/>
        </w:numPr>
        <w:spacing w:after="0" w:afterAutospacing="0" w:before="0" w:beforeAutospacing="0" w:lineRule="auto"/>
        <w:ind w:left="720" w:hanging="360"/>
        <w:jc w:val="left"/>
      </w:pPr>
      <w:r w:rsidDel="00000000" w:rsidR="00000000" w:rsidRPr="00000000">
        <w:rPr>
          <w:b w:val="1"/>
          <w:rtl w:val="0"/>
        </w:rPr>
        <w:t xml:space="preserve">Social y sanitario:</w:t>
      </w:r>
      <w:r w:rsidDel="00000000" w:rsidR="00000000" w:rsidRPr="00000000">
        <w:rPr>
          <w:rtl w:val="0"/>
        </w:rPr>
        <w:t xml:space="preserve"> Aumento de las enfermedades respiratorias y relacionadas con el calor, escasez de alimentos y agua, y desplazamiento de comunidades.</w:t>
      </w:r>
    </w:p>
    <w:p w:rsidR="00000000" w:rsidDel="00000000" w:rsidP="00000000" w:rsidRDefault="00000000" w:rsidRPr="00000000" w14:paraId="0000009F">
      <w:pPr>
        <w:numPr>
          <w:ilvl w:val="0"/>
          <w:numId w:val="9"/>
        </w:numPr>
        <w:spacing w:after="240" w:before="0" w:beforeAutospacing="0" w:lineRule="auto"/>
        <w:ind w:left="720" w:hanging="360"/>
        <w:jc w:val="left"/>
      </w:pPr>
      <w:r w:rsidDel="00000000" w:rsidR="00000000" w:rsidRPr="00000000">
        <w:rPr>
          <w:b w:val="1"/>
          <w:rtl w:val="0"/>
        </w:rPr>
        <w:t xml:space="preserve">Biodiversidad:</w:t>
      </w:r>
      <w:r w:rsidDel="00000000" w:rsidR="00000000" w:rsidRPr="00000000">
        <w:rPr>
          <w:rtl w:val="0"/>
        </w:rPr>
        <w:t xml:space="preserve"> Alteración de los hábitats que provoca la pérdida de especies y la reducción de la biodiversidad.</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rPr/>
      </w:pPr>
      <w:bookmarkStart w:colFirst="0" w:colLast="0" w:name="_heading=h.2grqrue" w:id="10"/>
      <w:bookmarkEnd w:id="10"/>
      <w:r w:rsidDel="00000000" w:rsidR="00000000" w:rsidRPr="00000000">
        <w:rPr>
          <w:rtl w:val="0"/>
        </w:rPr>
        <w:t xml:space="preserve">2.El papel de las empresas en la degradación medioambiental</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El papel de las empresas en la degradación medioambiental es polifacético y significativo. Sin embargo, con el creciente reconocimiento de los problemas medioambientales y de sus repercusiones a largo plazo sobre el planeta y las sociedades, muchas empresas están adoptando medidas hacia la sostenibilidad. Esto incluye la adopción de técnicas de producción más limpias, la reducción de residuos, el uso sostenible de los recursos y la inversión en energías renovables, entre otras estrategias. La transición hacia modelos empresariales más sostenibles no sólo ayuda a mitigar la degradación medioambiental, sino que también puede reportar beneficios económicos gracias al aumento de la eficiencia, la innovación y la mejora de la reputación. A medida que avanzan la concienciación y la tecnología, el papel de las empresas se considera cada vez más crucial para liderar el camino hacia un futuro más sostenible El papel de las empresas en la degradación medioambiental es significativo debido a su tamaño, escala y naturaleza de sus operaciones. Diversos aspectos de las actividades empresariales contribuyen al deterioro del medio ambiente, a menudo con repercusiones a largo plazo.</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2"/>
        <w:rPr/>
      </w:pPr>
      <w:bookmarkStart w:colFirst="0" w:colLast="0" w:name="_heading=h.vx1227" w:id="11"/>
      <w:bookmarkEnd w:id="11"/>
      <w:r w:rsidDel="00000000" w:rsidR="00000000" w:rsidRPr="00000000">
        <w:rPr>
          <w:rtl w:val="0"/>
        </w:rPr>
        <w:t xml:space="preserve">Residuos industriales</w:t>
      </w:r>
    </w:p>
    <w:p w:rsidR="00000000" w:rsidDel="00000000" w:rsidP="00000000" w:rsidRDefault="00000000" w:rsidRPr="00000000" w14:paraId="000000A9">
      <w:pPr>
        <w:rPr/>
      </w:pPr>
      <w:r w:rsidDel="00000000" w:rsidR="00000000" w:rsidRPr="00000000">
        <w:rPr>
          <w:rtl w:val="0"/>
        </w:rPr>
        <w:t xml:space="preserve">Los residuos industriales incluyen cualquier residuo producido por la actividad industrial, que puede incluir residuos químicos, peligrosos y no peligrosos. Algunos ejemplos son chatarra, disolventes químicos, pinturas, papel de lija, productos de papel, subproductos industriales, metales y residuos radiactivos. La eliminación inadecuada de residuos industriales puede contaminar el suelo y el agua. Los contaminantes pueden filtrarse en las aguas subterráneas o entrar en las masas de agua, afectando a la vida acuática y haciendo que el agua no sea segura para el consumo humano y el uso agrícola. La contaminación del suelo disminuye su fertilidad y puede dar lugar a cadenas de suministro de alimentos tóxicas. Las empresas pueden adoptar estrategias de gestión de residuos como reducir la generación de residuos, reciclar materiales, tratar los residuos antes de eliminarlos y garantizar métodos de almacenamiento y eliminación de residuos seguros y conformes con la normativa.</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2"/>
        <w:rPr/>
      </w:pPr>
      <w:bookmarkStart w:colFirst="0" w:colLast="0" w:name="_heading=h.3fwokq0" w:id="12"/>
      <w:bookmarkEnd w:id="12"/>
      <w:r w:rsidDel="00000000" w:rsidR="00000000" w:rsidRPr="00000000">
        <w:rPr>
          <w:rtl w:val="0"/>
        </w:rPr>
        <w:t xml:space="preserve">Emisiones</w:t>
      </w:r>
    </w:p>
    <w:p w:rsidR="00000000" w:rsidDel="00000000" w:rsidP="00000000" w:rsidRDefault="00000000" w:rsidRPr="00000000" w14:paraId="000000AC">
      <w:pPr>
        <w:rPr/>
      </w:pPr>
      <w:r w:rsidDel="00000000" w:rsidR="00000000" w:rsidRPr="00000000">
        <w:rPr>
          <w:rtl w:val="0"/>
        </w:rPr>
        <w:t xml:space="preserve">Las emisiones se refieren a los contaminantes liberados al aire, como el dióxido de carbono, el metano, el óxido nitroso y los gases fluorados. Proceden de diversas fuentes de las empresas, como la combustión de carburantes fósiles en la fabricación, el transporte o la generación de energía. Las emisiones contribuyen a la contaminación atmosférica y al cambio climático. Los gases de efecto invernadero atrapan el calor en la atmósfera, provocando el calentamiento global y el cambio climático, mientras que otros contaminantes pueden causar enfermedades respiratorias, smog y lluvia ácida. Las empresas pueden reducir las emisiones mejorando la eficiencia energética, cambiando a fuentes de energía renovables, optimizando la logística para reducir las emisiones del transporte e invirtiendo en tecnologías de control de emisiones.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2"/>
        <w:rPr/>
      </w:pPr>
      <w:bookmarkStart w:colFirst="0" w:colLast="0" w:name="_heading=h.1v1yuxt" w:id="13"/>
      <w:bookmarkEnd w:id="13"/>
      <w:r w:rsidDel="00000000" w:rsidR="00000000" w:rsidRPr="00000000">
        <w:rPr>
          <w:rtl w:val="0"/>
        </w:rPr>
        <w:t xml:space="preserve">Consumo excesivo de recursos</w:t>
      </w:r>
    </w:p>
    <w:p w:rsidR="00000000" w:rsidDel="00000000" w:rsidP="00000000" w:rsidRDefault="00000000" w:rsidRPr="00000000" w14:paraId="000000B1">
      <w:pPr>
        <w:rPr/>
      </w:pPr>
      <w:r w:rsidDel="00000000" w:rsidR="00000000" w:rsidRPr="00000000">
        <w:rPr>
          <w:rtl w:val="0"/>
        </w:rPr>
        <w:t xml:space="preserve">El consumo excesivo se refiere a la utilización de recursos a un ritmo que supera la capacidad sostenible de los ecosistemas. Las empresas, sobre todo las manufactureras, las de la construcción y las agrícolas, consumen grandes cantidades de agua, energía y materias primas..: Esto conduce al agotamiento de recursos como el agua, los minerales y los combustibles fósiles, y puede provocar la destrucción de hábitats, la pérdida de biodiversidad y el aumento de los residuos y la contaminación.</w:t>
      </w:r>
    </w:p>
    <w:p w:rsidR="00000000" w:rsidDel="00000000" w:rsidP="00000000" w:rsidRDefault="00000000" w:rsidRPr="00000000" w14:paraId="000000B2">
      <w:pPr>
        <w:rPr/>
      </w:pPr>
      <w:r w:rsidDel="00000000" w:rsidR="00000000" w:rsidRPr="00000000">
        <w:rPr>
          <w:rtl w:val="0"/>
        </w:rPr>
        <w:t xml:space="preserve">Las empresas pueden adoptar políticas de adquisición sostenibles, invertir en tecnologías eficientes en el uso de los recursos y diseñar productos con un ciclo de vida más largo. También pueden adoptar prácticas sostenibles como el reciclaje del agua, el abastecimiento sostenible y la reducción del consumo de energía.</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2"/>
        <w:rPr/>
      </w:pPr>
      <w:bookmarkStart w:colFirst="0" w:colLast="0" w:name="_heading=h.4f1mdlm" w:id="14"/>
      <w:bookmarkEnd w:id="14"/>
      <w:r w:rsidDel="00000000" w:rsidR="00000000" w:rsidRPr="00000000">
        <w:rPr>
          <w:rtl w:val="0"/>
        </w:rPr>
        <w:t xml:space="preserve">Uso del suelo</w:t>
      </w:r>
    </w:p>
    <w:p w:rsidR="00000000" w:rsidDel="00000000" w:rsidP="00000000" w:rsidRDefault="00000000" w:rsidRPr="00000000" w14:paraId="000000B5">
      <w:pPr>
        <w:rPr/>
      </w:pPr>
      <w:r w:rsidDel="00000000" w:rsidR="00000000" w:rsidRPr="00000000">
        <w:rPr>
          <w:rtl w:val="0"/>
        </w:rPr>
        <w:t xml:space="preserve">Las actividades empresariales suelen requerir tierras, lo que conduce a la deforestación, el despeje de tierras y la urbanización. Esto es especialmente frecuente en la agricultura, la minería y el desarrollo inmobiliario. La alteración del suelo para uso empresarial puede destruir los hábitats naturales, lo que conlleva la pérdida de biodiversidad, la alteración de los ecosistemas, la erosión del suelo y el aumento de las emisiones de carbono. También puede provocar problemas sociales, como el desplazamiento de comunidades y la pérdida de medios de sustento. Las empresas pueden minimizar su impacto en el uso de la tierra aplicando prácticas sostenibles de gestión de la tierra, rehabilitando la tierra utilizada, reduciendo su huella y apoyando los esfuerzos de conservación. También pueden implicarse en el abastecimiento responsable para garantizar que sus cadenas de suministro no contribuyen a la deforestación ni a la destrucción de hábitats.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1"/>
        <w:rPr/>
      </w:pPr>
      <w:bookmarkStart w:colFirst="0" w:colLast="0" w:name="_heading=h.2u6wntf" w:id="15"/>
      <w:bookmarkEnd w:id="15"/>
      <w:r w:rsidDel="00000000" w:rsidR="00000000" w:rsidRPr="00000000">
        <w:rPr>
          <w:rtl w:val="0"/>
        </w:rPr>
        <w:t xml:space="preserve">3.Impacto de la degradación medioambiental en las empresas</w:t>
      </w:r>
    </w:p>
    <w:p w:rsidR="00000000" w:rsidDel="00000000" w:rsidP="00000000" w:rsidRDefault="00000000" w:rsidRPr="00000000" w14:paraId="000000BA">
      <w:pPr>
        <w:rPr/>
      </w:pPr>
      <w:r w:rsidDel="00000000" w:rsidR="00000000" w:rsidRPr="00000000">
        <w:rPr>
          <w:rtl w:val="0"/>
        </w:rPr>
        <w:br w:type="textWrapping"/>
        <w:t xml:space="preserve">La degradación medioambiental no sólo afecta a los ecosistemas y las comunidades, sino que también tiene importantes implicaciones para las empresas. La degradación medioambiental plantea riesgos significativos para las empresas, que afectan a su situación jurídica, reputación, costes operativos y activos físicos. Sin embargo, si comprenden estos riesgos y adoptan medidas proactivas para mitigarlos, las empresas no sólo pueden protegerse, sino también aprovechar las oportunidades de innovación, aumento de la eficiencia y mejora de las relaciones con las partes interesadas. Las prácticas empresariales sostenibles se están convirtiendo cada vez más en una prioridad para las empresas de todo el mundo, que buscan garantizar la viabilidad a largo plazo en un mundo en el que las preocupaciones medioambientales son cada vez más relevantes.</w:t>
      </w:r>
    </w:p>
    <w:p w:rsidR="00000000" w:rsidDel="00000000" w:rsidP="00000000" w:rsidRDefault="00000000" w:rsidRPr="00000000" w14:paraId="000000BB">
      <w:pPr>
        <w:rPr/>
      </w:pPr>
      <w:r w:rsidDel="00000000" w:rsidR="00000000" w:rsidRPr="00000000">
        <w:rPr>
          <w:rtl w:val="0"/>
        </w:rPr>
        <w:t xml:space="preserve">Los impactos pueden ser directos o indirectos y afectar a diversos aspectos de las operaciones, la rentabilidad y la reputación.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Multas reglamentarias y acciones legales</w:t>
      </w:r>
    </w:p>
    <w:p w:rsidR="00000000" w:rsidDel="00000000" w:rsidP="00000000" w:rsidRDefault="00000000" w:rsidRPr="00000000" w14:paraId="000000BF">
      <w:pPr>
        <w:rPr/>
      </w:pPr>
      <w:r w:rsidDel="00000000" w:rsidR="00000000" w:rsidRPr="00000000">
        <w:rPr>
          <w:rtl w:val="0"/>
        </w:rPr>
        <w:t xml:space="preserve">Las empresas están sujetas a leyes y normativas medioambientales de ámbito local, nacional e internacional. Estas normativas pueden referirse a la eliminación de residuos, las emisiones, el uso de recursos y el control de la contaminación, y su incumplimiento puede conllevar importantes multas, sanciones legales o el cierre de las operaciones. Las batallas legales por daños medioambientales pueden ser costosas y llevar mucho tiempo. Además, el coste de adaptar las instalaciones o los procesos para cumplir las normas puede ser considerable. Las empresas pueden invertir en sistemas de gestión del cumplimiento, realizar auditorías periódicas y adoptar medidas proactivas para superar las normas reglamentarias, minimizando así el riesgo de acciones legales y multas.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Daños a la reputación</w:t>
      </w:r>
    </w:p>
    <w:p w:rsidR="00000000" w:rsidDel="00000000" w:rsidP="00000000" w:rsidRDefault="00000000" w:rsidRPr="00000000" w14:paraId="000000C3">
      <w:pPr>
        <w:rPr/>
      </w:pPr>
      <w:r w:rsidDel="00000000" w:rsidR="00000000" w:rsidRPr="00000000">
        <w:rPr>
          <w:rtl w:val="0"/>
        </w:rPr>
        <w:t xml:space="preserve">Con el aumento de la concienciación y la preocupación públicas por las cuestiones medioambientales, las empresas están sometidas a un control por su impacto medioambiental. Los consumidores, los inversores y otras partes interesadas prestan más atención a las prácticas medioambientales de las empresas. Las empresas percibidas como irresponsables desde el punto de vista medioambiental pueden enfrentarse a boicots de los consumidores, desinversiones de los inversores y una pérdida general de confianza. Esto puede provocar una disminución de las ventas, pérdida de cuota de mercado y dificultades para atraer a empleados o socios de calidad. Las empresas pueden adoptar y aplicar realmente prácticas sostenibles, realizar informes transparentes y comunicar activamente sus esfuerzos y logros medioambientales a las partes interesadas.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rtl w:val="0"/>
        </w:rPr>
        <w:t xml:space="preserve">Costes operativos</w:t>
      </w:r>
    </w:p>
    <w:p w:rsidR="00000000" w:rsidDel="00000000" w:rsidP="00000000" w:rsidRDefault="00000000" w:rsidRPr="00000000" w14:paraId="000000C7">
      <w:pPr>
        <w:rPr/>
      </w:pPr>
      <w:r w:rsidDel="00000000" w:rsidR="00000000" w:rsidRPr="00000000">
        <w:rPr>
          <w:rtl w:val="0"/>
        </w:rPr>
        <w:t xml:space="preserve">Muchas operaciones empresariales dependen de recursos naturales como el agua, los minerales, la madera y los combustibles fósiles. A medida que estos recursos se degradan o escasean, los costes asociados a su obtención pueden aumentar significativamente. El aumento de los costes de las materias primas debido a su escasez, el encarecimiento de la energía y la necesidad de invertir en fuentes o tecnologías alternativas pueden afectar a la rentabilidad y competitividad de las empresas. En algunos casos, puede llevar a la necesidad de revisiones operativas completas.</w:t>
      </w:r>
    </w:p>
    <w:p w:rsidR="00000000" w:rsidDel="00000000" w:rsidP="00000000" w:rsidRDefault="00000000" w:rsidRPr="00000000" w14:paraId="000000C8">
      <w:pPr>
        <w:rPr/>
      </w:pPr>
      <w:r w:rsidDel="00000000" w:rsidR="00000000" w:rsidRPr="00000000">
        <w:rPr>
          <w:rtl w:val="0"/>
        </w:rPr>
        <w:t xml:space="preserve">Las empresas pueden invertir en la eficiencia de los recursos, reducir los residuos, reciclar e innovar en el diseño de los productos para utilizar menos materiales o materiales alternativos. Explorar cadenas de suministro sostenibles y fuentes de energía renovables también pueden mitigar estos costes.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b w:val="1"/>
        </w:rPr>
      </w:pPr>
      <w:r w:rsidDel="00000000" w:rsidR="00000000" w:rsidRPr="00000000">
        <w:rPr>
          <w:b w:val="1"/>
          <w:rtl w:val="0"/>
        </w:rPr>
        <w:t xml:space="preserve">Riesgos físicos</w:t>
      </w:r>
    </w:p>
    <w:p w:rsidR="00000000" w:rsidDel="00000000" w:rsidP="00000000" w:rsidRDefault="00000000" w:rsidRPr="00000000" w14:paraId="000000CC">
      <w:pPr>
        <w:rPr/>
      </w:pPr>
      <w:r w:rsidDel="00000000" w:rsidR="00000000" w:rsidRPr="00000000">
        <w:rPr>
          <w:rtl w:val="0"/>
        </w:rPr>
        <w:t xml:space="preserve">El cambio climático y la degradación del medio ambiente pueden provocar un aumento de la frecuencia y gravedad de fenómenos meteorológicos extremos como tormentas, inundaciones, sequías y la subida del nivel del mar. La contaminación también puede degradar las infraestructuras. Los riesgos físicos para la infraestructura empresarial pueden incluir daños a las instalaciones, interrupción de las cadenas de suministro y pérdida de activos. Estos sucesos pueden provocar costes directos de reparación, interrupciones operativas y costes indirectos por retrasos o problemas de calidad. Las empresas pueden realizar evaluaciones de riesgos para conocer su vulnerabilidad a los riesgos físicos e invertir en infraestructuras y planificación para mejorar la resistencia. Esto podría incluir la reubicación de infraestructuras clave, el refuerzo de edificios y la diversificación de las cadenas de suministro.</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1"/>
        <w:rPr/>
      </w:pPr>
      <w:bookmarkStart w:colFirst="0" w:colLast="0" w:name="_heading=h.19c6y18" w:id="16"/>
      <w:bookmarkEnd w:id="16"/>
      <w:r w:rsidDel="00000000" w:rsidR="00000000" w:rsidRPr="00000000">
        <w:rPr>
          <w:rtl w:val="0"/>
        </w:rPr>
        <w:t xml:space="preserve">4.Estrategias para que las empresas aborden la degradación medioambiental</w:t>
      </w:r>
    </w:p>
    <w:p w:rsidR="00000000" w:rsidDel="00000000" w:rsidP="00000000" w:rsidRDefault="00000000" w:rsidRPr="00000000" w14:paraId="000000D0">
      <w:pPr>
        <w:rPr/>
      </w:pPr>
      <w:r w:rsidDel="00000000" w:rsidR="00000000" w:rsidRPr="00000000">
        <w:rPr>
          <w:rtl w:val="0"/>
        </w:rPr>
        <w:t xml:space="preserve">Las empresas tienen un papel fundamental a la hora de abordar la degradación medioambiental. Adoptando diversas estrategias, pueden mitigar su impacto medioambiental, mejorar su eficacia operativa y mejorar su posición en el mercado. He aquí un examen detallado de las estrategias mencionadas:</w:t>
      </w:r>
    </w:p>
    <w:p w:rsidR="00000000" w:rsidDel="00000000" w:rsidP="00000000" w:rsidRDefault="00000000" w:rsidRPr="00000000" w14:paraId="000000D1">
      <w:pPr>
        <w:spacing w:after="240" w:before="240" w:lineRule="auto"/>
        <w:rPr>
          <w:b w:val="1"/>
        </w:rPr>
      </w:pPr>
      <w:r w:rsidDel="00000000" w:rsidR="00000000" w:rsidRPr="00000000">
        <w:rPr>
          <w:b w:val="1"/>
          <w:rtl w:val="0"/>
        </w:rPr>
        <w:t xml:space="preserve">1.</w:t>
      </w:r>
      <w:r w:rsidDel="00000000" w:rsidR="00000000" w:rsidRPr="00000000">
        <w:rPr>
          <w:rtl w:val="0"/>
        </w:rPr>
        <w:t xml:space="preserve"> </w:t>
      </w:r>
      <w:r w:rsidDel="00000000" w:rsidR="00000000" w:rsidRPr="00000000">
        <w:rPr>
          <w:b w:val="1"/>
          <w:rtl w:val="0"/>
        </w:rPr>
        <w:t xml:space="preserve">Adoptar prácticas sostenibles</w:t>
      </w:r>
    </w:p>
    <w:p w:rsidR="00000000" w:rsidDel="00000000" w:rsidP="00000000" w:rsidRDefault="00000000" w:rsidRPr="00000000" w14:paraId="000000D2">
      <w:pPr>
        <w:numPr>
          <w:ilvl w:val="0"/>
          <w:numId w:val="2"/>
        </w:numPr>
        <w:spacing w:after="0" w:afterAutospacing="0" w:before="240" w:lineRule="auto"/>
        <w:ind w:left="720" w:hanging="360"/>
        <w:rPr>
          <w:u w:val="none"/>
        </w:rPr>
      </w:pPr>
      <w:r w:rsidDel="00000000" w:rsidR="00000000" w:rsidRPr="00000000">
        <w:rPr>
          <w:b w:val="1"/>
          <w:rtl w:val="0"/>
        </w:rPr>
        <w:t xml:space="preserve">Implantar procesos energéticamente eficientes:</w:t>
      </w:r>
      <w:r w:rsidDel="00000000" w:rsidR="00000000" w:rsidRPr="00000000">
        <w:rPr>
          <w:rtl w:val="0"/>
        </w:rPr>
        <w:t xml:space="preserve"> Esto incluye la actualización a maquinaria más eficiente, la optimización de los procesos para consumir menos energía y el cambio a fuentes de energía renovables como la solar o la eólica.</w:t>
      </w:r>
    </w:p>
    <w:p w:rsidR="00000000" w:rsidDel="00000000" w:rsidP="00000000" w:rsidRDefault="00000000" w:rsidRPr="00000000" w14:paraId="000000D3">
      <w:pPr>
        <w:numPr>
          <w:ilvl w:val="0"/>
          <w:numId w:val="2"/>
        </w:numPr>
        <w:spacing w:after="0" w:afterAutospacing="0" w:before="0" w:beforeAutospacing="0" w:lineRule="auto"/>
        <w:ind w:left="720" w:hanging="360"/>
        <w:jc w:val="left"/>
      </w:pPr>
      <w:r w:rsidDel="00000000" w:rsidR="00000000" w:rsidRPr="00000000">
        <w:rPr>
          <w:b w:val="1"/>
          <w:rtl w:val="0"/>
        </w:rPr>
        <w:t xml:space="preserve">Reducir los residuos:</w:t>
      </w:r>
      <w:r w:rsidDel="00000000" w:rsidR="00000000" w:rsidRPr="00000000">
        <w:rPr>
          <w:rtl w:val="0"/>
        </w:rPr>
        <w:t xml:space="preserve"> Las estrategias pueden incluir la mejora de la eficiencia de los procesos para generar menos residuos, el reciclaje de materiales y la adopción de un modelo de economía circular en el que se tenga en cuenta desde el principio el final de la vida útil de los productos.</w:t>
      </w:r>
    </w:p>
    <w:p w:rsidR="00000000" w:rsidDel="00000000" w:rsidP="00000000" w:rsidRDefault="00000000" w:rsidRPr="00000000" w14:paraId="000000D4">
      <w:pPr>
        <w:numPr>
          <w:ilvl w:val="0"/>
          <w:numId w:val="2"/>
        </w:numPr>
        <w:spacing w:after="240" w:before="0" w:beforeAutospacing="0" w:lineRule="auto"/>
        <w:ind w:left="720" w:hanging="360"/>
        <w:jc w:val="left"/>
      </w:pPr>
      <w:r w:rsidDel="00000000" w:rsidR="00000000" w:rsidRPr="00000000">
        <w:rPr>
          <w:b w:val="1"/>
          <w:rtl w:val="0"/>
        </w:rPr>
        <w:t xml:space="preserve">Utilizar materiales sostenibles:</w:t>
      </w:r>
      <w:r w:rsidDel="00000000" w:rsidR="00000000" w:rsidRPr="00000000">
        <w:rPr>
          <w:rtl w:val="0"/>
        </w:rPr>
        <w:t xml:space="preserve"> Esto implica elegir materiales de origen sostenible, con menor impacto medioambiental o reciclables o biodegradables..</w:t>
      </w:r>
    </w:p>
    <w:p w:rsidR="00000000" w:rsidDel="00000000" w:rsidP="00000000" w:rsidRDefault="00000000" w:rsidRPr="00000000" w14:paraId="000000D5">
      <w:pPr>
        <w:spacing w:after="240" w:before="240" w:lineRule="auto"/>
        <w:rPr>
          <w:b w:val="1"/>
        </w:rPr>
      </w:pPr>
      <w:r w:rsidDel="00000000" w:rsidR="00000000" w:rsidRPr="00000000">
        <w:rPr>
          <w:b w:val="1"/>
          <w:rtl w:val="0"/>
        </w:rPr>
        <w:t xml:space="preserve">2.</w:t>
      </w:r>
      <w:r w:rsidDel="00000000" w:rsidR="00000000" w:rsidRPr="00000000">
        <w:rPr>
          <w:rtl w:val="0"/>
        </w:rPr>
        <w:t xml:space="preserve"> </w:t>
      </w:r>
      <w:r w:rsidDel="00000000" w:rsidR="00000000" w:rsidRPr="00000000">
        <w:rPr>
          <w:b w:val="1"/>
          <w:rtl w:val="0"/>
        </w:rPr>
        <w:t xml:space="preserve">Sistemas de Gestión Medioambiental (SGMA)</w:t>
      </w:r>
    </w:p>
    <w:p w:rsidR="00000000" w:rsidDel="00000000" w:rsidP="00000000" w:rsidRDefault="00000000" w:rsidRPr="00000000" w14:paraId="000000D6">
      <w:pPr>
        <w:numPr>
          <w:ilvl w:val="0"/>
          <w:numId w:val="1"/>
        </w:numPr>
        <w:spacing w:after="0" w:afterAutospacing="0" w:before="240" w:lineRule="auto"/>
        <w:ind w:left="720" w:hanging="360"/>
        <w:jc w:val="left"/>
      </w:pPr>
      <w:r w:rsidDel="00000000" w:rsidR="00000000" w:rsidRPr="00000000">
        <w:rPr>
          <w:b w:val="1"/>
          <w:rtl w:val="0"/>
        </w:rPr>
        <w:t xml:space="preserve">Descripción:</w:t>
      </w:r>
      <w:r w:rsidDel="00000000" w:rsidR="00000000" w:rsidRPr="00000000">
        <w:rPr>
          <w:rtl w:val="0"/>
        </w:rPr>
        <w:t xml:space="preserve"> Un SGMA es un conjunto de procesos y prácticas que permiten a una organización reducir su impacto medioambiental y aumentar su eficacia operativa. Este marco se basa en un ciclo de mejora continua de planificación, implantación, revisión y mejora de los procesos y acciones que emprende una organización para cumplir sus objetivos empresariales y medioambientales.</w:t>
      </w:r>
    </w:p>
    <w:p w:rsidR="00000000" w:rsidDel="00000000" w:rsidP="00000000" w:rsidRDefault="00000000" w:rsidRPr="00000000" w14:paraId="000000D7">
      <w:pPr>
        <w:numPr>
          <w:ilvl w:val="0"/>
          <w:numId w:val="1"/>
        </w:numPr>
        <w:spacing w:after="240" w:before="0" w:beforeAutospacing="0" w:lineRule="auto"/>
        <w:ind w:left="720" w:hanging="360"/>
        <w:jc w:val="left"/>
      </w:pPr>
      <w:r w:rsidDel="00000000" w:rsidR="00000000" w:rsidRPr="00000000">
        <w:rPr>
          <w:b w:val="1"/>
          <w:rtl w:val="0"/>
        </w:rPr>
        <w:t xml:space="preserve">Beneficios:</w:t>
      </w:r>
      <w:r w:rsidDel="00000000" w:rsidR="00000000" w:rsidRPr="00000000">
        <w:rPr>
          <w:rtl w:val="0"/>
        </w:rPr>
        <w:t xml:space="preserve"> Un SGMA ayuda a abordar sistemáticamente el cumplimiento legal y a identificar oportunidades de ahorro de costes. También mejora la reputación de la empresa y las relaciones con las partes interesadas al demostrar su compromiso con la gestión medioambiental.</w:t>
      </w:r>
      <w:r w:rsidDel="00000000" w:rsidR="00000000" w:rsidRPr="00000000">
        <w:rPr>
          <w:rtl w:val="0"/>
        </w:rPr>
      </w:r>
    </w:p>
    <w:p w:rsidR="00000000" w:rsidDel="00000000" w:rsidP="00000000" w:rsidRDefault="00000000" w:rsidRPr="00000000" w14:paraId="000000D8">
      <w:pPr>
        <w:spacing w:after="240" w:before="240" w:lineRule="auto"/>
        <w:rPr>
          <w:b w:val="1"/>
        </w:rPr>
      </w:pPr>
      <w:r w:rsidDel="00000000" w:rsidR="00000000" w:rsidRPr="00000000">
        <w:rPr>
          <w:b w:val="1"/>
          <w:rtl w:val="0"/>
        </w:rPr>
        <w:t xml:space="preserve">3.</w:t>
      </w:r>
      <w:r w:rsidDel="00000000" w:rsidR="00000000" w:rsidRPr="00000000">
        <w:rPr>
          <w:rtl w:val="0"/>
        </w:rPr>
        <w:t xml:space="preserve"> </w:t>
      </w:r>
      <w:r w:rsidDel="00000000" w:rsidR="00000000" w:rsidRPr="00000000">
        <w:rPr>
          <w:b w:val="1"/>
          <w:rtl w:val="0"/>
        </w:rPr>
        <w:t xml:space="preserve">Gestión de la cadena de suministro</w:t>
      </w:r>
    </w:p>
    <w:p w:rsidR="00000000" w:rsidDel="00000000" w:rsidP="00000000" w:rsidRDefault="00000000" w:rsidRPr="00000000" w14:paraId="000000D9">
      <w:pPr>
        <w:numPr>
          <w:ilvl w:val="0"/>
          <w:numId w:val="6"/>
        </w:numPr>
        <w:spacing w:after="0" w:afterAutospacing="0" w:before="240" w:lineRule="auto"/>
        <w:ind w:left="720" w:hanging="360"/>
        <w:jc w:val="left"/>
      </w:pPr>
      <w:r w:rsidDel="00000000" w:rsidR="00000000" w:rsidRPr="00000000">
        <w:rPr>
          <w:b w:val="1"/>
          <w:rtl w:val="0"/>
        </w:rPr>
        <w:t xml:space="preserve">Trabajar con los proveedores:</w:t>
      </w:r>
      <w:r w:rsidDel="00000000" w:rsidR="00000000" w:rsidRPr="00000000">
        <w:rPr>
          <w:rtl w:val="0"/>
        </w:rPr>
        <w:t xml:space="preserve"> Esto implica comprometerse con los proveedores para garantizar que sus prácticas se alinean con los objetivos de sostenibilidad. Las empresas pueden exigir a los proveedores que cumplan determinadas normas medioambientales, o seleccionar preferentemente a los proveedores que demuestren un comportamiento medioambiental adecuado.</w:t>
      </w:r>
    </w:p>
    <w:p w:rsidR="00000000" w:rsidDel="00000000" w:rsidP="00000000" w:rsidRDefault="00000000" w:rsidRPr="00000000" w14:paraId="000000DA">
      <w:pPr>
        <w:numPr>
          <w:ilvl w:val="0"/>
          <w:numId w:val="6"/>
        </w:numPr>
        <w:spacing w:after="240" w:before="0" w:beforeAutospacing="0" w:lineRule="auto"/>
        <w:ind w:left="720" w:hanging="360"/>
        <w:jc w:val="left"/>
      </w:pPr>
      <w:r w:rsidDel="00000000" w:rsidR="00000000" w:rsidRPr="00000000">
        <w:rPr>
          <w:b w:val="1"/>
          <w:rtl w:val="0"/>
        </w:rPr>
        <w:t xml:space="preserve">Abastecimiento sostenible:</w:t>
      </w:r>
      <w:r w:rsidDel="00000000" w:rsidR="00000000" w:rsidRPr="00000000">
        <w:rPr>
          <w:rtl w:val="0"/>
        </w:rPr>
        <w:t xml:space="preserve"> Asegurarse de que las materias primas se obtienen de forma que se minimice el impacto medioambiental, incluida la búsqueda de certificaciones que garanticen la producción sostenible de estos materiales.</w:t>
      </w:r>
    </w:p>
    <w:p w:rsidR="00000000" w:rsidDel="00000000" w:rsidP="00000000" w:rsidRDefault="00000000" w:rsidRPr="00000000" w14:paraId="000000DB">
      <w:pPr>
        <w:spacing w:after="240" w:before="240" w:lineRule="auto"/>
        <w:jc w:val="left"/>
        <w:rPr/>
      </w:pPr>
      <w:r w:rsidDel="00000000" w:rsidR="00000000" w:rsidRPr="00000000">
        <w:rPr>
          <w:rtl w:val="0"/>
        </w:rPr>
      </w:r>
    </w:p>
    <w:p w:rsidR="00000000" w:rsidDel="00000000" w:rsidP="00000000" w:rsidRDefault="00000000" w:rsidRPr="00000000" w14:paraId="000000DC">
      <w:pPr>
        <w:spacing w:after="240" w:before="240" w:lineRule="auto"/>
        <w:rPr>
          <w:b w:val="1"/>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Innovar</w:t>
      </w:r>
    </w:p>
    <w:p w:rsidR="00000000" w:rsidDel="00000000" w:rsidP="00000000" w:rsidRDefault="00000000" w:rsidRPr="00000000" w14:paraId="000000DD">
      <w:pPr>
        <w:numPr>
          <w:ilvl w:val="0"/>
          <w:numId w:val="10"/>
        </w:numPr>
        <w:spacing w:after="0" w:afterAutospacing="0" w:before="240" w:lineRule="auto"/>
        <w:ind w:left="720" w:hanging="360"/>
        <w:jc w:val="left"/>
      </w:pPr>
      <w:r w:rsidDel="00000000" w:rsidR="00000000" w:rsidRPr="00000000">
        <w:rPr>
          <w:b w:val="1"/>
          <w:rtl w:val="0"/>
        </w:rPr>
        <w:t xml:space="preserve">Invierte en I+D:</w:t>
      </w:r>
      <w:r w:rsidDel="00000000" w:rsidR="00000000" w:rsidRPr="00000000">
        <w:rPr>
          <w:rtl w:val="0"/>
        </w:rPr>
        <w:t xml:space="preserve"> Destina recursos al desarrollo de nuevos productos y servicios más ecológicos. Esto podría incluir materiales alternativos, tecnologías de producción más limpias o productos diseñados para su reutilización o reciclaje.</w:t>
      </w:r>
    </w:p>
    <w:p w:rsidR="00000000" w:rsidDel="00000000" w:rsidP="00000000" w:rsidRDefault="00000000" w:rsidRPr="00000000" w14:paraId="000000DE">
      <w:pPr>
        <w:numPr>
          <w:ilvl w:val="0"/>
          <w:numId w:val="10"/>
        </w:numPr>
        <w:spacing w:after="240" w:before="0" w:beforeAutospacing="0" w:lineRule="auto"/>
        <w:ind w:left="720" w:hanging="360"/>
        <w:jc w:val="left"/>
      </w:pPr>
      <w:r w:rsidDel="00000000" w:rsidR="00000000" w:rsidRPr="00000000">
        <w:rPr>
          <w:b w:val="1"/>
          <w:rtl w:val="0"/>
        </w:rPr>
        <w:t xml:space="preserve">Fomentar una cultura de innovación:</w:t>
      </w:r>
      <w:r w:rsidDel="00000000" w:rsidR="00000000" w:rsidRPr="00000000">
        <w:rPr>
          <w:rtl w:val="0"/>
        </w:rPr>
        <w:t xml:space="preserve"> Fomenta una cultura organizativa que estimule la creatividad y la resolución de problemas para abordar los retos medioambientales. Esto podría implicar programas de participación de los empleados, retos de innovación o asociaciones con investigadores externos o empresas de reciente creación.</w:t>
      </w:r>
      <w:r w:rsidDel="00000000" w:rsidR="00000000" w:rsidRPr="00000000">
        <w:rPr>
          <w:rtl w:val="0"/>
        </w:rPr>
      </w:r>
    </w:p>
    <w:p w:rsidR="00000000" w:rsidDel="00000000" w:rsidP="00000000" w:rsidRDefault="00000000" w:rsidRPr="00000000" w14:paraId="000000DF">
      <w:pPr>
        <w:spacing w:after="240" w:before="240" w:lineRule="auto"/>
        <w:rPr>
          <w:b w:val="1"/>
        </w:rPr>
      </w:pPr>
      <w:r w:rsidDel="00000000" w:rsidR="00000000" w:rsidRPr="00000000">
        <w:rPr>
          <w:b w:val="1"/>
          <w:rtl w:val="0"/>
        </w:rPr>
        <w:t xml:space="preserve">5.</w:t>
      </w:r>
      <w:r w:rsidDel="00000000" w:rsidR="00000000" w:rsidRPr="00000000">
        <w:rPr>
          <w:rtl w:val="0"/>
        </w:rPr>
        <w:t xml:space="preserve"> </w:t>
      </w:r>
      <w:r w:rsidDel="00000000" w:rsidR="00000000" w:rsidRPr="00000000">
        <w:rPr>
          <w:b w:val="1"/>
          <w:rtl w:val="0"/>
        </w:rPr>
        <w:t xml:space="preserve">Transparencia e información</w:t>
      </w:r>
    </w:p>
    <w:p w:rsidR="00000000" w:rsidDel="00000000" w:rsidP="00000000" w:rsidRDefault="00000000" w:rsidRPr="00000000" w14:paraId="000000E0">
      <w:pPr>
        <w:numPr>
          <w:ilvl w:val="0"/>
          <w:numId w:val="3"/>
        </w:numPr>
        <w:spacing w:after="0" w:afterAutospacing="0" w:before="240" w:lineRule="auto"/>
        <w:ind w:left="720" w:hanging="360"/>
        <w:jc w:val="left"/>
      </w:pPr>
      <w:r w:rsidDel="00000000" w:rsidR="00000000" w:rsidRPr="00000000">
        <w:rPr>
          <w:b w:val="1"/>
          <w:rtl w:val="0"/>
        </w:rPr>
        <w:t xml:space="preserve">Divulgación periódica:</w:t>
      </w:r>
      <w:r w:rsidDel="00000000" w:rsidR="00000000" w:rsidRPr="00000000">
        <w:rPr>
          <w:rtl w:val="0"/>
        </w:rPr>
        <w:t xml:space="preserve"> Divulga públicamente los datos sobre el impacto medioambiental, incluidas las emisiones, el uso de recursos, la generación de residuos y otras métricas relevantes. Esta transparencia es cada vez más valorada por los consumidores, los inversores y otras partes interesadas.</w:t>
      </w:r>
    </w:p>
    <w:p w:rsidR="00000000" w:rsidDel="00000000" w:rsidP="00000000" w:rsidRDefault="00000000" w:rsidRPr="00000000" w14:paraId="000000E1">
      <w:pPr>
        <w:numPr>
          <w:ilvl w:val="0"/>
          <w:numId w:val="3"/>
        </w:numPr>
        <w:spacing w:after="240" w:before="0" w:beforeAutospacing="0" w:lineRule="auto"/>
        <w:ind w:left="720" w:hanging="360"/>
        <w:jc w:val="left"/>
      </w:pPr>
      <w:r w:rsidDel="00000000" w:rsidR="00000000" w:rsidRPr="00000000">
        <w:rPr>
          <w:b w:val="1"/>
          <w:rtl w:val="0"/>
        </w:rPr>
        <w:t xml:space="preserve">Esfuerzos para mitigar el impacto:</w:t>
      </w:r>
      <w:r w:rsidDel="00000000" w:rsidR="00000000" w:rsidRPr="00000000">
        <w:rPr>
          <w:rtl w:val="0"/>
        </w:rPr>
        <w:t xml:space="preserve"> Junto con los datos sobre el impacto medioambiental, informa sobre los pasos que está dando la empresa para reducir su huella, los objetivos que se ha fijado y los avances hacia esos objetivos. Los marcos de elaboración de informes como la Global Reporting Initiative (GRI) o el Carbon Disclosure Project (CDP) pueden aportar estructura y credibilidad a estos informes.</w:t>
      </w:r>
    </w:p>
    <w:p w:rsidR="00000000" w:rsidDel="00000000" w:rsidP="00000000" w:rsidRDefault="00000000" w:rsidRPr="00000000" w14:paraId="000000E2">
      <w:pPr>
        <w:ind w:left="0" w:firstLine="0"/>
        <w:rPr>
          <w:b w:val="1"/>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Adoptando estas estrategias, las empresas pueden reducir significativamente su impacto medioambiental, al tiempo que a menudo mejoran su eficacia operativa y mejoran su reputación. Estas acciones contribuyen a una economía más sostenible y pueden ayudar a mitigar los amplios impactos sociales de la degradación medioambiental. Aunque la transición hacia prácticas empresariales más sostenibles puede ser un reto, también ofrece oportunidades de innovación, nuevos mercados y viabilidad a largo plazo. A medida que las preocupaciones medioambientales adquieren mayor importancia para los consumidores, los inversores y los reguladores, los argumentos empresariales a favor de la sostenibilidad siguen reforzándose.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1"/>
        <w:rPr/>
      </w:pPr>
      <w:bookmarkStart w:colFirst="0" w:colLast="0" w:name="_heading=h.3tbugp1" w:id="17"/>
      <w:bookmarkEnd w:id="17"/>
      <w:r w:rsidDel="00000000" w:rsidR="00000000" w:rsidRPr="00000000">
        <w:rPr>
          <w:rtl w:val="0"/>
        </w:rPr>
        <w:t xml:space="preserve">5.Recursos para seguir aprendiendo:</w:t>
      </w:r>
    </w:p>
    <w:p w:rsidR="00000000" w:rsidDel="00000000" w:rsidP="00000000" w:rsidRDefault="00000000" w:rsidRPr="00000000" w14:paraId="000000E7">
      <w:pPr>
        <w:rPr/>
      </w:pPr>
      <w:r w:rsidDel="00000000" w:rsidR="00000000" w:rsidRPr="00000000">
        <w:rPr>
          <w:rtl w:val="0"/>
        </w:rPr>
        <w:br w:type="textWrapping"/>
        <w:t xml:space="preserve">Para quienes estén interesados en profundizar en la degradación medioambiental, las prácticas de sostenibilidad y las estrategias empresariales para abordar estas cuestiones, hay numerosos recursos disponibles en Internet. He aquí una lista de sitios web que ofrecen valiosa información, herramientas y orientación:</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b w:val="1"/>
          <w:rtl w:val="0"/>
        </w:rPr>
        <w:t xml:space="preserve">El Pacto Verde Europeo: </w:t>
      </w:r>
      <w:r w:rsidDel="00000000" w:rsidR="00000000" w:rsidRPr="00000000">
        <w:rPr>
          <w:rtl w:val="0"/>
        </w:rPr>
        <w:t xml:space="preserve">un ambicioso plan lanzado por la Comisión Europea para hacer sostenible la economía de la Unión Europea. Esta iniciativa pretende transformar la UE en una sociedad justa y próspera, con una economía moderna, eficiente en el uso de los recursos y competitiva, en la que no haya emisiones netas de gases de efecto invernadero para 2050, y el crecimiento económico esté desvinculado del uso de los recursos. También pretende proteger, conservar y mejorar el patrimonio natural de la UE, y proteger la salud y el bienestar de los ciudadanos frente a los riesgos e impactos relacionados con el medio ambiente. En el núcleo del Pacto Verde Europeo está el compromiso de reducir las emisiones de gases de efecto invernadero al menos un 55% para 2030, en comparación con los niveles de 1990, sentando las bases para un continente climáticamente neutro en 2050. Para alcanzar estos ambiciosos objetivos, el Pacto Verde esboza una hoja de ruta con acciones en todos los sectores de la economía, como la inversión en tecnologías respetuosas con el medio ambiente, el apoyo a la industria para que innove, la implantación de formas de transporte privado y público más limpias, baratas y saludables, la descarbonización del sector energético, la garantía de que los edificios sean más eficientes energéticamente y la colaboración con socios internacionales para mejorar las normas medioambientales mundiales. </w:t>
      </w:r>
      <w:hyperlink r:id="rId16">
        <w:r w:rsidDel="00000000" w:rsidR="00000000" w:rsidRPr="00000000">
          <w:rPr>
            <w:color w:val="1155cc"/>
            <w:u w:val="single"/>
            <w:rtl w:val="0"/>
          </w:rPr>
          <w:t xml:space="preserve">El Pacto Verde Europeo - Comisión Europea (europa.eu)</w:t>
        </w:r>
      </w:hyperlink>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b w:val="1"/>
          <w:rtl w:val="0"/>
        </w:rPr>
        <w:t xml:space="preserve">El Marco GreenComp </w:t>
      </w:r>
      <w:r w:rsidDel="00000000" w:rsidR="00000000" w:rsidRPr="00000000">
        <w:rPr>
          <w:rtl w:val="0"/>
        </w:rPr>
        <w:t xml:space="preserve">es una iniciativa de la Unión Europea concebida como un marco global de competencias para apoyar el desarrollo de aptitudes y actitudes ecológicas esenciales para la transición ecológica. Su objetivo es fomentar la alfabetización medioambiental y las prácticas sostenibles entre las personas, las organizaciones y las sociedades para hacer frente a los retos medioambientales globales, como el cambio climático, la pérdida de biodiversidad y el agotamiento de los recursos. El marco define un conjunto de competencias en cuatro ámbitos interconectados: adoptar principios sostenibles y éticos, comprender el sistema socioecológico, emprender acciones informadas y responsables, y comprometerse con los demás para apoyar objetivos sostenibles comunes. Al proporcionar una guía detallada para educadores, responsables políticos y organizaciones, GreenComp facilita la integración de las competencias verdes en la educación, la formación y el desarrollo de la mano de obra, garantizando que las personas estén equipadas con los conocimientos, habilidades y valores necesarios para contribuir a un futuro sostenible. Es una herramienta estratégica para impulsar el compromiso de la UE de lograr la sostenibilidad medioambiental y la neutralidad climática. Puedes encontrar más detalles en el sitio web del Centro Común de Investigación:</w:t>
      </w:r>
    </w:p>
    <w:p w:rsidR="00000000" w:rsidDel="00000000" w:rsidP="00000000" w:rsidRDefault="00000000" w:rsidRPr="00000000" w14:paraId="000000EC">
      <w:pPr>
        <w:rPr/>
      </w:pPr>
      <w:hyperlink r:id="rId17">
        <w:r w:rsidDel="00000000" w:rsidR="00000000" w:rsidRPr="00000000">
          <w:rPr>
            <w:color w:val="1155cc"/>
            <w:u w:val="single"/>
            <w:rtl w:val="0"/>
          </w:rPr>
          <w:t xml:space="preserve">GreenComp: the European sustainability competence framework</w:t>
        </w:r>
      </w:hyperlink>
      <w:r w:rsidDel="00000000" w:rsidR="00000000" w:rsidRPr="00000000">
        <w:rPr>
          <w:rtl w:val="0"/>
        </w:rPr>
        <w:t xml:space="preserve"> (página disponible sólo en inglés)</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b w:val="1"/>
          <w:rtl w:val="0"/>
        </w:rPr>
        <w:t xml:space="preserve">La iniciativa de la Nueva Bauhaus Europea </w:t>
      </w:r>
      <w:r w:rsidDel="00000000" w:rsidR="00000000" w:rsidRPr="00000000">
        <w:rPr>
          <w:rtl w:val="0"/>
        </w:rPr>
        <w:t xml:space="preserve">es un proyecto innovador e interdisciplinar puesto en marcha por la Comisión Europea, cuyo objetivo es tender un puente entre la ciencia, la tecnología, el arte y la cultura para encontrar soluciones para un futuro sostenible. Sirve de plataforma creativa y colaborativa que pretende diseñar nuevas formas de vida, en la encrucijada del arte, la cultura, la inclusión social, la ciencia y la tecnología. La iniciativa se inspira en el movimiento Bauhaus, haciendo hincapié en la funcionalidad, la sencillez y la sostenibilidad en el diseño, al tiempo que fomenta la inclusión y mejora la calidad de vida. La Nueva Bauhaus Europea se centra en tres temas clave: la sostenibilidad, desde los objetivos climáticos a la economía circular; la estética, garantizando la calidad de la experiencia y el estilo más allá de la funcionalidad; y la inclusividad, mejorando la accesibilidad, la asequibilidad y fomentando el sentido de comunidad. Fomenta experimentos y proyectos que demuestren cómo las prácticas sostenibles pueden combinarse armoniosamente con el buen diseño y la inclusividad, influyendo en las políticas e inversiones del Pacto Verde Europeo. Mediante su énfasis en la colaboración, la iniciativa reúne a una red diversa de socios y partes interesadas para cocrear futuros espacios vitales respetuosos con el medio ambiente, inclusivos y bellos. </w:t>
      </w:r>
      <w:hyperlink r:id="rId18">
        <w:r w:rsidDel="00000000" w:rsidR="00000000" w:rsidRPr="00000000">
          <w:rPr>
            <w:color w:val="0563c1"/>
            <w:u w:val="single"/>
            <w:rtl w:val="0"/>
          </w:rPr>
          <w:t xml:space="preserve">https://new-european-bauhaus.europa.eu/index_en</w:t>
        </w:r>
      </w:hyperlink>
      <w:r w:rsidDel="00000000" w:rsidR="00000000" w:rsidRPr="00000000">
        <w:rPr>
          <w:rtl w:val="0"/>
        </w:rPr>
        <w:t xml:space="preserve"> (página solo disponible en inglés)</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b w:val="1"/>
          <w:rtl w:val="0"/>
        </w:rPr>
        <w:t xml:space="preserve">Las RIS (Estrategias de Investigación e Innovación) nacionales para la Especialización Inteligente </w:t>
      </w:r>
      <w:r w:rsidDel="00000000" w:rsidR="00000000" w:rsidRPr="00000000">
        <w:rPr>
          <w:rtl w:val="0"/>
        </w:rPr>
        <w:t xml:space="preserve">son planteamientos estratégicos para el desarrollo económico mediante el apoyo específico a la investigación y la innovación (I+I). Estas estrategias las diseñan los Estados miembros y las regiones de la UE para identificar y seleccionar una serie de áreas prioritarias para la inversión en I+I, basándose en los puntos fuertes, las ventajas competitivas y el potencial de excelencia de cada región. El objetivo es impulsar la innovación regional para lograr el crecimiento económico y la prosperidad, garantizando así un uso eficiente de la inversión pública en I+I y evitando la duplicación y fragmentación de esfuerzos. Al centrarse en sus puntos fuertes únicos, las regiones pueden ser más competitivas en el mercado mundial. Las estrategias RIS fomentan la participación de las partes interesadas, incluidas las empresas, las instituciones de investigación y los organismos gubernamentales, para impulsar ecosistemas de innovación colaborativos. Mediante el enfoque de la especialización inteligente, las regiones pueden desarrollar soluciones innovadoras a los retos sociales, crear nuevas oportunidades empresariales y contribuir al desarrollo sostenible. Este enfoque forma parte íntegra de la política de cohesión de la Unión Europea, que promueve la cohesión económica, social y territorial reduciendo las disparidades entre regiones.</w:t>
      </w:r>
      <w:hyperlink r:id="rId19">
        <w:r w:rsidDel="00000000" w:rsidR="00000000" w:rsidRPr="00000000">
          <w:rPr>
            <w:color w:val="0563c1"/>
            <w:u w:val="single"/>
            <w:rtl w:val="0"/>
          </w:rPr>
          <w:t xml:space="preserve">https://op.europa.eu/en/publication-detail/-/publication/e634b432-a969-4814-9f2b-bbe3042ca86f/language-en</w:t>
        </w:r>
      </w:hyperlink>
      <w:r w:rsidDel="00000000" w:rsidR="00000000" w:rsidRPr="00000000">
        <w:rPr>
          <w:rtl w:val="0"/>
        </w:rPr>
        <w:t xml:space="preserve"> (página solo disponible en inglés)</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b w:val="1"/>
          <w:rtl w:val="0"/>
        </w:rPr>
        <w:t xml:space="preserve">Programa de las Naciones Unidas para el Medio Ambiente (PNUMA) - </w:t>
      </w:r>
      <w:hyperlink r:id="rId20">
        <w:r w:rsidDel="00000000" w:rsidR="00000000" w:rsidRPr="00000000">
          <w:rPr>
            <w:color w:val="1155cc"/>
            <w:u w:val="single"/>
            <w:rtl w:val="0"/>
          </w:rPr>
          <w:t xml:space="preserve">unep.org</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Ofrece información exhaustiva sobre diversas cuestiones medioambientales y objetivos de desarrollo sostenible.</w:t>
      </w:r>
    </w:p>
    <w:p w:rsidR="00000000" w:rsidDel="00000000" w:rsidP="00000000" w:rsidRDefault="00000000" w:rsidRPr="00000000" w14:paraId="000000F7">
      <w:pPr>
        <w:rPr/>
      </w:pPr>
      <w:r w:rsidDel="00000000" w:rsidR="00000000" w:rsidRPr="00000000">
        <w:rPr>
          <w:b w:val="1"/>
          <w:rtl w:val="0"/>
        </w:rPr>
        <w:t xml:space="preserve">Agencia de Protección del Medio Ambiente (EPA) - </w:t>
      </w:r>
      <w:hyperlink r:id="rId21">
        <w:r w:rsidDel="00000000" w:rsidR="00000000" w:rsidRPr="00000000">
          <w:rPr>
            <w:color w:val="1155cc"/>
            <w:u w:val="single"/>
            <w:rtl w:val="0"/>
          </w:rPr>
          <w:t xml:space="preserve">epa.gov</w:t>
        </w:r>
      </w:hyperlink>
      <w:r w:rsidDel="00000000" w:rsidR="00000000" w:rsidRPr="00000000">
        <w:rPr>
          <w:b w:val="1"/>
          <w:rtl w:val="0"/>
        </w:rPr>
        <w:t xml:space="preserve"> </w:t>
      </w:r>
      <w:r w:rsidDel="00000000" w:rsidR="00000000" w:rsidRPr="00000000">
        <w:rPr>
          <w:rtl w:val="0"/>
        </w:rPr>
        <w:t xml:space="preserve">(página disponible solo en español)</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Recursos e información sobre legislación, directrices y buenas prácticas medioambientales en Estados Unidos.</w:t>
      </w:r>
    </w:p>
    <w:p w:rsidR="00000000" w:rsidDel="00000000" w:rsidP="00000000" w:rsidRDefault="00000000" w:rsidRPr="00000000" w14:paraId="000000F9">
      <w:pPr>
        <w:rPr/>
      </w:pPr>
      <w:r w:rsidDel="00000000" w:rsidR="00000000" w:rsidRPr="00000000">
        <w:rPr>
          <w:b w:val="1"/>
          <w:rtl w:val="0"/>
        </w:rPr>
        <w:t xml:space="preserve">Global Reporting Initiative (GRI) - </w:t>
      </w:r>
      <w:hyperlink r:id="rId22">
        <w:r w:rsidDel="00000000" w:rsidR="00000000" w:rsidRPr="00000000">
          <w:rPr>
            <w:color w:val="0563c1"/>
            <w:u w:val="single"/>
            <w:rtl w:val="0"/>
          </w:rPr>
          <w:t xml:space="preserve">globalreporting.org</w:t>
        </w:r>
      </w:hyperlink>
      <w:r w:rsidDel="00000000" w:rsidR="00000000" w:rsidRPr="00000000">
        <w:rPr>
          <w:b w:val="1"/>
          <w:rtl w:val="0"/>
        </w:rPr>
        <w:t xml:space="preserve"> </w:t>
      </w:r>
      <w:r w:rsidDel="00000000" w:rsidR="00000000" w:rsidRPr="00000000">
        <w:rPr>
          <w:rtl w:val="0"/>
        </w:rPr>
        <w:t xml:space="preserve">(página disponible sólo en inglés)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Proporciona normas y apoyo para la elaboración de informes de sostenibilidad.</w:t>
      </w:r>
    </w:p>
    <w:p w:rsidR="00000000" w:rsidDel="00000000" w:rsidP="00000000" w:rsidRDefault="00000000" w:rsidRPr="00000000" w14:paraId="000000FB">
      <w:pPr>
        <w:rPr/>
      </w:pPr>
      <w:r w:rsidDel="00000000" w:rsidR="00000000" w:rsidRPr="00000000">
        <w:rPr>
          <w:b w:val="1"/>
          <w:rtl w:val="0"/>
        </w:rPr>
        <w:t xml:space="preserve">El World Business Council for Sustainable Development (WBCSD) - </w:t>
      </w:r>
      <w:hyperlink r:id="rId23">
        <w:r w:rsidDel="00000000" w:rsidR="00000000" w:rsidRPr="00000000">
          <w:rPr>
            <w:color w:val="0563c1"/>
            <w:u w:val="single"/>
            <w:rtl w:val="0"/>
          </w:rPr>
          <w:t xml:space="preserve">wbcsd.org</w:t>
        </w:r>
      </w:hyperlink>
      <w:r w:rsidDel="00000000" w:rsidR="00000000" w:rsidRPr="00000000">
        <w:rPr>
          <w:b w:val="1"/>
          <w:rtl w:val="0"/>
        </w:rPr>
        <w:t xml:space="preserve"> </w:t>
      </w:r>
      <w:r w:rsidDel="00000000" w:rsidR="00000000" w:rsidRPr="00000000">
        <w:rPr>
          <w:rtl w:val="0"/>
        </w:rPr>
        <w:t xml:space="preserve">(página disponible solo en inglés)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Una organización dirigida por directivos de más de 200 empresas líderes que trabajan juntas para acelerar la transición hacia un mundo sostenible.</w:t>
      </w:r>
    </w:p>
    <w:p w:rsidR="00000000" w:rsidDel="00000000" w:rsidP="00000000" w:rsidRDefault="00000000" w:rsidRPr="00000000" w14:paraId="000000FD">
      <w:pPr>
        <w:rPr/>
      </w:pPr>
      <w:r w:rsidDel="00000000" w:rsidR="00000000" w:rsidRPr="00000000">
        <w:rPr>
          <w:b w:val="1"/>
          <w:rtl w:val="0"/>
        </w:rPr>
        <w:t xml:space="preserve">El Carbon Disclosure Project (CDP) - </w:t>
      </w:r>
      <w:hyperlink r:id="rId24">
        <w:r w:rsidDel="00000000" w:rsidR="00000000" w:rsidRPr="00000000">
          <w:rPr>
            <w:color w:val="1155cc"/>
            <w:u w:val="single"/>
            <w:rtl w:val="0"/>
          </w:rPr>
          <w:t xml:space="preserve">cdp.net</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Un sistema global de divulgación para que los inversores, las empresas, las ciudades, los estados y las regiones gestionen sus impactos medioambientales.</w:t>
      </w:r>
    </w:p>
    <w:p w:rsidR="00000000" w:rsidDel="00000000" w:rsidP="00000000" w:rsidRDefault="00000000" w:rsidRPr="00000000" w14:paraId="000000FF">
      <w:pPr>
        <w:rPr/>
      </w:pPr>
      <w:r w:rsidDel="00000000" w:rsidR="00000000" w:rsidRPr="00000000">
        <w:rPr>
          <w:b w:val="1"/>
          <w:rtl w:val="0"/>
        </w:rPr>
        <w:t xml:space="preserve">La Fundación Ellen MacArthur - </w:t>
      </w:r>
      <w:hyperlink r:id="rId25">
        <w:r w:rsidDel="00000000" w:rsidR="00000000" w:rsidRPr="00000000">
          <w:rPr>
            <w:color w:val="0563c1"/>
            <w:u w:val="single"/>
            <w:rtl w:val="0"/>
          </w:rPr>
          <w:t xml:space="preserve">ellenmacarthurfoundation.org</w:t>
        </w:r>
      </w:hyperlink>
      <w:r w:rsidDel="00000000" w:rsidR="00000000" w:rsidRPr="00000000">
        <w:rPr>
          <w:b w:val="1"/>
          <w:rtl w:val="0"/>
        </w:rPr>
        <w:t xml:space="preserve"> </w:t>
      </w:r>
      <w:r w:rsidDel="00000000" w:rsidR="00000000" w:rsidRPr="00000000">
        <w:rPr>
          <w:rtl w:val="0"/>
        </w:rPr>
        <w:t xml:space="preserve">(página solo disponible en inglés)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Se centra en promover la economía circular como solución al agotamiento de los recursos y los residuos.</w:t>
      </w:r>
    </w:p>
    <w:p w:rsidR="00000000" w:rsidDel="00000000" w:rsidP="00000000" w:rsidRDefault="00000000" w:rsidRPr="00000000" w14:paraId="00000101">
      <w:pPr>
        <w:rPr/>
      </w:pPr>
      <w:r w:rsidDel="00000000" w:rsidR="00000000" w:rsidRPr="00000000">
        <w:rPr>
          <w:b w:val="1"/>
          <w:rtl w:val="0"/>
        </w:rPr>
        <w:t xml:space="preserve">El Paso Natural - </w:t>
      </w:r>
      <w:hyperlink r:id="rId26">
        <w:r w:rsidDel="00000000" w:rsidR="00000000" w:rsidRPr="00000000">
          <w:rPr>
            <w:color w:val="0563c1"/>
            <w:u w:val="single"/>
            <w:rtl w:val="0"/>
          </w:rPr>
          <w:t xml:space="preserve">thenaturalstep.org</w:t>
        </w:r>
      </w:hyperlink>
      <w:r w:rsidDel="00000000" w:rsidR="00000000" w:rsidRPr="00000000">
        <w:rPr>
          <w:b w:val="1"/>
          <w:rtl w:val="0"/>
        </w:rPr>
        <w:t xml:space="preserve"> </w:t>
      </w:r>
      <w:r w:rsidDel="00000000" w:rsidR="00000000" w:rsidRPr="00000000">
        <w:rPr>
          <w:rtl w:val="0"/>
        </w:rPr>
        <w:t xml:space="preserve">(página solo disponible en inglés)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Proporciona marcos y asesoramiento para el desarrollo sostenible de organizaciones y comunidades.</w:t>
      </w:r>
    </w:p>
    <w:p w:rsidR="00000000" w:rsidDel="00000000" w:rsidP="00000000" w:rsidRDefault="00000000" w:rsidRPr="00000000" w14:paraId="00000103">
      <w:pPr>
        <w:rPr/>
      </w:pPr>
      <w:r w:rsidDel="00000000" w:rsidR="00000000" w:rsidRPr="00000000">
        <w:rPr>
          <w:b w:val="1"/>
          <w:rtl w:val="0"/>
        </w:rPr>
        <w:t xml:space="preserve">Objetivos de Desarrollo Sostenible (ODS) - sdgs.un.org :</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Información sobre los 17 ODS que son una llamada universal a la acción para acabar con la pobreza, proteger el planeta y garantizar la prosperidad para todos.</w:t>
      </w:r>
    </w:p>
    <w:p w:rsidR="00000000" w:rsidDel="00000000" w:rsidP="00000000" w:rsidRDefault="00000000" w:rsidRPr="00000000" w14:paraId="00000105">
      <w:pPr>
        <w:rPr/>
      </w:pPr>
      <w:r w:rsidDel="00000000" w:rsidR="00000000" w:rsidRPr="00000000">
        <w:rPr>
          <w:b w:val="1"/>
          <w:rtl w:val="0"/>
        </w:rPr>
        <w:t xml:space="preserve">GreenBiz - </w:t>
      </w:r>
      <w:hyperlink r:id="rId27">
        <w:r w:rsidDel="00000000" w:rsidR="00000000" w:rsidRPr="00000000">
          <w:rPr>
            <w:color w:val="0563c1"/>
            <w:u w:val="single"/>
            <w:rtl w:val="0"/>
          </w:rPr>
          <w:t xml:space="preserve">greenbiz.com</w:t>
        </w:r>
      </w:hyperlink>
      <w:r w:rsidDel="00000000" w:rsidR="00000000" w:rsidRPr="00000000">
        <w:rPr>
          <w:b w:val="1"/>
          <w:rtl w:val="0"/>
        </w:rPr>
        <w:t xml:space="preserve"> </w:t>
      </w:r>
      <w:r w:rsidDel="00000000" w:rsidR="00000000" w:rsidRPr="00000000">
        <w:rPr>
          <w:rtl w:val="0"/>
        </w:rPr>
        <w:t xml:space="preserve">(página disponible solo en inglés)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Empresa líder en medios de comunicación y eventos centrada en los negocios, la tecnología y la sostenibilidad.</w:t>
      </w:r>
    </w:p>
    <w:p w:rsidR="00000000" w:rsidDel="00000000" w:rsidP="00000000" w:rsidRDefault="00000000" w:rsidRPr="00000000" w14:paraId="00000107">
      <w:pPr>
        <w:rPr/>
      </w:pPr>
      <w:r w:rsidDel="00000000" w:rsidR="00000000" w:rsidRPr="00000000">
        <w:rPr>
          <w:b w:val="1"/>
          <w:rtl w:val="0"/>
        </w:rPr>
        <w:t xml:space="preserve">Foro Ecológico Empresarial - </w:t>
      </w:r>
      <w:hyperlink r:id="rId28">
        <w:r w:rsidDel="00000000" w:rsidR="00000000" w:rsidRPr="00000000">
          <w:rPr>
            <w:color w:val="0563c1"/>
            <w:u w:val="single"/>
            <w:rtl w:val="0"/>
          </w:rPr>
          <w:t xml:space="preserve">corporateecoforum.com</w:t>
        </w:r>
      </w:hyperlink>
      <w:r w:rsidDel="00000000" w:rsidR="00000000" w:rsidRPr="00000000">
        <w:rPr>
          <w:b w:val="1"/>
          <w:rtl w:val="0"/>
        </w:rPr>
        <w:t xml:space="preserve"> </w:t>
      </w:r>
      <w:r w:rsidDel="00000000" w:rsidR="00000000" w:rsidRPr="00000000">
        <w:rPr>
          <w:rtl w:val="0"/>
        </w:rPr>
        <w:t xml:space="preserve">(página solo disponible en inglés)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Una organización de miembros para grandes empresas comprometidas con la sostenibilidad empresarial.</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sectPr>
      <w:headerReference r:id="rId29" w:type="default"/>
      <w:headerReference r:id="rId30" w:type="first"/>
      <w:headerReference r:id="rId31" w:type="even"/>
      <w:footerReference r:id="rId32" w:type="default"/>
      <w:footerReference r:id="rId33"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Calibri"/>
  <w:font w:name="Promp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-1549399</wp:posOffset>
              </wp:positionH>
              <wp:positionV relativeFrom="paragraph">
                <wp:posOffset>558800</wp:posOffset>
              </wp:positionV>
              <wp:extent cx="8389349" cy="424232"/>
              <wp:effectExtent b="0" l="0" r="0" t="0"/>
              <wp:wrapNone/>
              <wp:docPr id="1958378594" name=""/>
              <a:graphic>
                <a:graphicData uri="http://schemas.microsoft.com/office/word/2010/wordprocessingShape">
                  <wps:wsp>
                    <wps:cNvSpPr/>
                    <wps:cNvPr id="2" name="Shape 2"/>
                    <wps:spPr>
                      <a:xfrm rot="5400000">
                        <a:off x="5158932" y="-409912"/>
                        <a:ext cx="374136" cy="83798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-1549399</wp:posOffset>
              </wp:positionH>
              <wp:positionV relativeFrom="paragraph">
                <wp:posOffset>558800</wp:posOffset>
              </wp:positionV>
              <wp:extent cx="8389349" cy="424232"/>
              <wp:effectExtent b="0" l="0" r="0" t="0"/>
              <wp:wrapNone/>
              <wp:docPr id="195837859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389349" cy="42423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196215</wp:posOffset>
          </wp:positionV>
          <wp:extent cx="2244090" cy="470799"/>
          <wp:effectExtent b="0" l="0" r="0" t="0"/>
          <wp:wrapSquare wrapText="bothSides" distB="0" distT="0" distL="114300" distR="114300"/>
          <wp:docPr descr="Afbeelding met Lettertype, schermopname, Graphics, Elektrisch blauw&#10;&#10;Automatisch gegenereerde beschrijving" id="1958378599" name="image13.png"/>
          <a:graphic>
            <a:graphicData uri="http://schemas.openxmlformats.org/drawingml/2006/picture">
              <pic:pic>
                <pic:nvPicPr>
                  <pic:cNvPr descr="Afbeelding met Lettertype, schermopname, Graphics, Elektrisch blauw&#10;&#10;Automatisch gegenereerde beschrijving" id="0" name="image13.png"/>
                  <pic:cNvPicPr preferRelativeResize="0"/>
                </pic:nvPicPr>
                <pic:blipFill>
                  <a:blip r:embed="rId2"/>
                  <a:srcRect b="0" l="0" r="0" t="0"/>
                  <a:stretch>
                    <a:fillRect/>
                  </a:stretch>
                </pic:blipFill>
                <pic:spPr>
                  <a:xfrm>
                    <a:off x="0" y="0"/>
                    <a:ext cx="2244090" cy="470799"/>
                  </a:xfrm>
                  <a:prstGeom prst="rect"/>
                  <a:ln/>
                </pic:spPr>
              </pic:pic>
            </a:graphicData>
          </a:graphic>
        </wp:anchor>
      </w:drawing>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-3568699</wp:posOffset>
              </wp:positionH>
              <wp:positionV relativeFrom="paragraph">
                <wp:posOffset>3581400</wp:posOffset>
              </wp:positionV>
              <wp:extent cx="7719061" cy="544195"/>
              <wp:effectExtent b="0" l="0" r="0" t="0"/>
              <wp:wrapNone/>
              <wp:docPr id="1958378596" name=""/>
              <a:graphic>
                <a:graphicData uri="http://schemas.microsoft.com/office/word/2010/wordprocessingGroup">
                  <wpg:wgp>
                    <wpg:cNvGrpSpPr/>
                    <wpg:grpSpPr>
                      <a:xfrm>
                        <a:off x="1486450" y="3507875"/>
                        <a:ext cx="7719061" cy="544195"/>
                        <a:chOff x="1486450" y="3507875"/>
                        <a:chExt cx="7719100" cy="544250"/>
                      </a:xfrm>
                    </wpg:grpSpPr>
                    <wpg:grpSp>
                      <wpg:cNvGrpSpPr/>
                      <wpg:grpSpPr>
                        <a:xfrm>
                          <a:off x="1486470" y="3507903"/>
                          <a:ext cx="7719061" cy="544195"/>
                          <a:chOff x="1480100" y="3507150"/>
                          <a:chExt cx="7731800" cy="545700"/>
                        </a:xfrm>
                      </wpg:grpSpPr>
                      <wps:wsp>
                        <wps:cNvSpPr/>
                        <wps:cNvPr id="4" name="Shape 4"/>
                        <wps:spPr>
                          <a:xfrm>
                            <a:off x="1480100" y="3507150"/>
                            <a:ext cx="7731800" cy="54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rot="5400000">
                            <a:off x="5079510" y="-79531"/>
                            <a:ext cx="532981" cy="7719061"/>
                            <a:chOff x="0" y="1"/>
                            <a:chExt cx="619125" cy="11144249"/>
                          </a:xfrm>
                        </wpg:grpSpPr>
                        <wps:wsp>
                          <wps:cNvSpPr/>
                          <wps:cNvPr id="13" name="Shape 13"/>
                          <wps:spPr>
                            <a:xfrm>
                              <a:off x="0" y="1"/>
                              <a:ext cx="619125" cy="1114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6905625"/>
                              <a:ext cx="619125" cy="4238625"/>
                            </a:xfrm>
                            <a:prstGeom prst="rect">
                              <a:avLst/>
                            </a:prstGeom>
                            <a:solidFill>
                              <a:srgbClr val="1A496A"/>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3311704"/>
                              <a:ext cx="619125" cy="3895920"/>
                            </a:xfrm>
                            <a:prstGeom prst="rect">
                              <a:avLst/>
                            </a:prstGeom>
                            <a:solidFill>
                              <a:srgbClr val="FCC31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1"/>
                              <a:ext cx="619125" cy="3402106"/>
                            </a:xfrm>
                            <a:prstGeom prst="rect">
                              <a:avLst/>
                            </a:prstGeom>
                            <a:solidFill>
                              <a:srgbClr val="4C9F37"/>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-3568699</wp:posOffset>
              </wp:positionH>
              <wp:positionV relativeFrom="paragraph">
                <wp:posOffset>3581400</wp:posOffset>
              </wp:positionV>
              <wp:extent cx="7719061" cy="544195"/>
              <wp:effectExtent b="0" l="0" r="0" t="0"/>
              <wp:wrapNone/>
              <wp:docPr id="1958378596"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7719061" cy="54419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12">
    <w:pPr>
      <w:jc w:val="center"/>
      <w:rPr>
        <w:b w:val="1"/>
      </w:rPr>
    </w:pPr>
    <w:r w:rsidDel="00000000" w:rsidR="00000000" w:rsidRPr="00000000">
      <w:rPr>
        <w:b w:val="1"/>
        <w:rtl w:val="0"/>
      </w:rPr>
      <w:t xml:space="preserve">Project nr: 2022-2-RO01-KA220-YOU-000102027</w:t>
    </w:r>
    <w:r w:rsidDel="00000000" w:rsidR="00000000" w:rsidRPr="00000000">
      <w:drawing>
        <wp:anchor allowOverlap="1" behindDoc="0" distB="0" distT="0" distL="114300" distR="114300" hidden="0" layoutInCell="1" locked="0" relativeHeight="0" simplePos="0">
          <wp:simplePos x="0" y="0"/>
          <wp:positionH relativeFrom="column">
            <wp:posOffset>1481772</wp:posOffset>
          </wp:positionH>
          <wp:positionV relativeFrom="paragraph">
            <wp:posOffset>-671738</wp:posOffset>
          </wp:positionV>
          <wp:extent cx="2797175" cy="587375"/>
          <wp:effectExtent b="0" l="0" r="0" t="0"/>
          <wp:wrapSquare wrapText="bothSides" distB="0" distT="0" distL="114300" distR="114300"/>
          <wp:docPr descr="Afbeelding met Lettertype, schermopname, Graphics, Elektrisch blauw&#10;&#10;Automatisch gegenereerde beschrijving" id="1958378600" name="image13.png"/>
          <a:graphic>
            <a:graphicData uri="http://schemas.openxmlformats.org/drawingml/2006/picture">
              <pic:pic>
                <pic:nvPicPr>
                  <pic:cNvPr descr="Afbeelding met Lettertype, schermopname, Graphics, Elektrisch blauw&#10;&#10;Automatisch gegenereerde beschrijving" id="0" name="image13.png"/>
                  <pic:cNvPicPr preferRelativeResize="0"/>
                </pic:nvPicPr>
                <pic:blipFill>
                  <a:blip r:embed="rId1"/>
                  <a:srcRect b="0" l="0" r="0" t="0"/>
                  <a:stretch>
                    <a:fillRect/>
                  </a:stretch>
                </pic:blipFill>
                <pic:spPr>
                  <a:xfrm>
                    <a:off x="0" y="0"/>
                    <a:ext cx="2797175" cy="587375"/>
                  </a:xfrm>
                  <a:prstGeom prst="rect"/>
                  <a:ln/>
                </pic:spPr>
              </pic:pic>
            </a:graphicData>
          </a:graphic>
        </wp:anchor>
      </w:drawing>
    </w:r>
  </w:p>
  <w:p w:rsidR="00000000" w:rsidDel="00000000" w:rsidP="00000000" w:rsidRDefault="00000000" w:rsidRPr="00000000" w14:paraId="00000113">
    <w:pPr>
      <w:jc w:val="cente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pict>
        <v:shape id="WordPictureWatermark2" style="position:absolute;width:596.4pt;height:852.0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pict>
        <v:shape id="WordPictureWatermark3" style="position:absolute;width:596.4pt;height:852.0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4736770</wp:posOffset>
          </wp:positionH>
          <wp:positionV relativeFrom="paragraph">
            <wp:posOffset>-117019</wp:posOffset>
          </wp:positionV>
          <wp:extent cx="1520325" cy="391885"/>
          <wp:effectExtent b="0" l="0" r="0" t="0"/>
          <wp:wrapNone/>
          <wp:docPr id="1958378598" name="image3.png"/>
          <a:graphic>
            <a:graphicData uri="http://schemas.openxmlformats.org/drawingml/2006/picture">
              <pic:pic>
                <pic:nvPicPr>
                  <pic:cNvPr id="0" name="image3.png"/>
                  <pic:cNvPicPr preferRelativeResize="0"/>
                </pic:nvPicPr>
                <pic:blipFill>
                  <a:blip r:embed="rId2"/>
                  <a:srcRect b="40401" l="14463" r="5235" t="38899"/>
                  <a:stretch>
                    <a:fillRect/>
                  </a:stretch>
                </pic:blipFill>
                <pic:spPr>
                  <a:xfrm>
                    <a:off x="0" y="0"/>
                    <a:ext cx="1520325" cy="39188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pict>
        <v:shape id="WordPictureWatermark1" style="position:absolute;width:596.4pt;height:852.0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Open Sans" w:cs="Open Sans" w:eastAsia="Open Sans" w:hAnsi="Open Sans"/>
        <w:sz w:val="22"/>
        <w:szCs w:val="22"/>
        <w:lang w:val="en-GB"/>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ind w:firstLine="720"/>
      <w:jc w:val="left"/>
    </w:pPr>
    <w:rPr>
      <w:b w:val="1"/>
      <w:color w:val="1a496a"/>
      <w:sz w:val="40"/>
      <w:szCs w:val="40"/>
    </w:rPr>
  </w:style>
  <w:style w:type="paragraph" w:styleId="Heading2">
    <w:name w:val="heading 2"/>
    <w:basedOn w:val="Normal"/>
    <w:next w:val="Normal"/>
    <w:pPr>
      <w:keepNext w:val="1"/>
      <w:keepLines w:val="1"/>
      <w:spacing w:before="40" w:lineRule="auto"/>
    </w:pPr>
    <w:rPr>
      <w:b w:val="1"/>
      <w:color w:val="1a496a"/>
      <w:sz w:val="24"/>
      <w:szCs w:val="24"/>
    </w:rPr>
  </w:style>
  <w:style w:type="paragraph" w:styleId="Heading3">
    <w:name w:val="heading 3"/>
    <w:basedOn w:val="Normal"/>
    <w:next w:val="Normal"/>
    <w:pPr>
      <w:keepNext w:val="1"/>
      <w:keepLines w:val="1"/>
      <w:spacing w:before="40" w:lineRule="auto"/>
      <w:ind w:left="720"/>
    </w:pPr>
    <w:rPr>
      <w:color w:val="44546a"/>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305D"/>
    <w:rPr>
      <w:rFonts w:cs="Times New Roman" w:eastAsia="Times New Roman"/>
      <w:szCs w:val="24"/>
      <w:lang w:eastAsia="en-GB"/>
    </w:rPr>
  </w:style>
  <w:style w:type="paragraph" w:styleId="Heading1">
    <w:name w:val="heading 1"/>
    <w:basedOn w:val="Normal"/>
    <w:next w:val="Normal"/>
    <w:link w:val="Heading1Char"/>
    <w:uiPriority w:val="9"/>
    <w:qFormat w:val="1"/>
    <w:rsid w:val="0009105D"/>
    <w:pPr>
      <w:keepNext w:val="1"/>
      <w:keepLines w:val="1"/>
      <w:spacing w:before="240"/>
      <w:ind w:firstLine="720"/>
      <w:jc w:val="left"/>
      <w:outlineLvl w:val="0"/>
    </w:pPr>
    <w:rPr>
      <w:rFonts w:cstheme="majorBidi" w:eastAsiaTheme="majorEastAsia"/>
      <w:b w:val="1"/>
      <w:color w:val="1a496a"/>
      <w:sz w:val="40"/>
      <w:szCs w:val="36"/>
    </w:rPr>
  </w:style>
  <w:style w:type="paragraph" w:styleId="Heading2">
    <w:name w:val="heading 2"/>
    <w:basedOn w:val="Normal"/>
    <w:next w:val="Normal"/>
    <w:link w:val="Heading2Char"/>
    <w:uiPriority w:val="9"/>
    <w:unhideWhenUsed w:val="1"/>
    <w:qFormat w:val="1"/>
    <w:rsid w:val="006364BE"/>
    <w:pPr>
      <w:keepNext w:val="1"/>
      <w:keepLines w:val="1"/>
      <w:spacing w:before="40"/>
      <w:outlineLvl w:val="1"/>
    </w:pPr>
    <w:rPr>
      <w:rFonts w:cstheme="majorBidi" w:eastAsiaTheme="majorEastAsia"/>
      <w:b w:val="1"/>
      <w:color w:val="1a496a"/>
      <w:sz w:val="24"/>
      <w:szCs w:val="26"/>
    </w:rPr>
  </w:style>
  <w:style w:type="paragraph" w:styleId="Heading3">
    <w:name w:val="heading 3"/>
    <w:basedOn w:val="Normal"/>
    <w:next w:val="Normal"/>
    <w:link w:val="Heading3Char"/>
    <w:uiPriority w:val="9"/>
    <w:unhideWhenUsed w:val="1"/>
    <w:qFormat w:val="1"/>
    <w:rsid w:val="00E378FE"/>
    <w:pPr>
      <w:keepNext w:val="1"/>
      <w:keepLines w:val="1"/>
      <w:spacing w:before="40"/>
      <w:ind w:left="720"/>
      <w:outlineLvl w:val="2"/>
    </w:pPr>
    <w:rPr>
      <w:rFonts w:cstheme="majorBidi" w:eastAsiaTheme="majorEastAsia"/>
      <w:color w:val="44546a" w:themeColor="text2"/>
      <w:sz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3C1865"/>
    <w:rPr>
      <w:rFonts w:ascii="Calibri" w:cs="Times New Roman" w:eastAsia="Calibri" w:hAnsi="Calibri"/>
      <w:sz w:val="24"/>
      <w:szCs w:val="24"/>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unhideWhenUsed w:val="1"/>
    <w:rsid w:val="003C1865"/>
    <w:rPr>
      <w:rFonts w:asciiTheme="minorHAnsi" w:cstheme="minorBidi" w:eastAsiaTheme="minorHAnsi" w:hAnsiTheme="minorHAnsi"/>
      <w:sz w:val="20"/>
      <w:szCs w:val="20"/>
      <w:lang w:eastAsia="en-US" w:val="en-US"/>
    </w:rPr>
  </w:style>
  <w:style w:type="character" w:styleId="FootnoteTextChar" w:customStyle="1">
    <w:name w:val="Footnote Text Char"/>
    <w:basedOn w:val="DefaultParagraphFont"/>
    <w:link w:val="FootnoteText"/>
    <w:uiPriority w:val="99"/>
    <w:rsid w:val="003C1865"/>
    <w:rPr>
      <w:sz w:val="20"/>
      <w:szCs w:val="20"/>
      <w:lang w:val="en-US"/>
    </w:rPr>
  </w:style>
  <w:style w:type="paragraph" w:styleId="HeadingwithoutNumber" w:customStyle="1">
    <w:name w:val="Heading without Number"/>
    <w:basedOn w:val="Heading1"/>
    <w:next w:val="Normal"/>
    <w:rsid w:val="003C1865"/>
    <w:pPr>
      <w:keepLines w:val="0"/>
      <w:kinsoku w:val="0"/>
      <w:wordWrap w:val="0"/>
      <w:overflowPunct w:val="0"/>
      <w:autoSpaceDE w:val="0"/>
      <w:autoSpaceDN w:val="0"/>
      <w:adjustRightInd w:val="0"/>
      <w:spacing w:after="120" w:before="480"/>
      <w:ind w:left="720" w:hanging="360"/>
      <w:textAlignment w:val="baseline"/>
      <w:outlineLvl w:val="9"/>
    </w:pPr>
    <w:rPr>
      <w:rFonts w:ascii="Arial" w:cs="Times New Roman" w:eastAsia="MingLiU" w:hAnsi="Arial"/>
      <w:b w:val="0"/>
      <w:smallCaps w:val="1"/>
      <w:color w:val="0070c0"/>
      <w:kern w:val="28"/>
      <w:sz w:val="28"/>
      <w:szCs w:val="24"/>
      <w:lang w:eastAsia="de-DE"/>
    </w:rPr>
  </w:style>
  <w:style w:type="character" w:styleId="Heading1Char" w:customStyle="1">
    <w:name w:val="Heading 1 Char"/>
    <w:basedOn w:val="DefaultParagraphFont"/>
    <w:link w:val="Heading1"/>
    <w:rsid w:val="0009105D"/>
    <w:rPr>
      <w:rFonts w:cstheme="majorBidi" w:eastAsiaTheme="majorEastAsia"/>
      <w:b w:val="1"/>
      <w:color w:val="1a496a"/>
      <w:sz w:val="40"/>
      <w:szCs w:val="36"/>
      <w:lang w:eastAsia="en-GB"/>
    </w:rPr>
  </w:style>
  <w:style w:type="paragraph" w:styleId="Header">
    <w:name w:val="header"/>
    <w:basedOn w:val="Normal"/>
    <w:link w:val="HeaderChar"/>
    <w:uiPriority w:val="99"/>
    <w:unhideWhenUsed w:val="1"/>
    <w:rsid w:val="003C1865"/>
    <w:pPr>
      <w:tabs>
        <w:tab w:val="center" w:pos="4536"/>
        <w:tab w:val="right" w:pos="9072"/>
      </w:tabs>
    </w:pPr>
  </w:style>
  <w:style w:type="character" w:styleId="HeaderChar" w:customStyle="1">
    <w:name w:val="Header Char"/>
    <w:basedOn w:val="DefaultParagraphFont"/>
    <w:link w:val="Header"/>
    <w:uiPriority w:val="99"/>
    <w:rsid w:val="003C1865"/>
    <w:rPr>
      <w:rFonts w:ascii="Franklin Gothic Book" w:cs="Times New Roman" w:eastAsia="Times New Roman" w:hAnsi="Franklin Gothic Book"/>
      <w:szCs w:val="24"/>
      <w:lang w:eastAsia="en-GB" w:val="es-ES_tradnl"/>
    </w:rPr>
  </w:style>
  <w:style w:type="paragraph" w:styleId="Footer">
    <w:name w:val="footer"/>
    <w:basedOn w:val="Normal"/>
    <w:link w:val="FooterChar"/>
    <w:uiPriority w:val="99"/>
    <w:unhideWhenUsed w:val="1"/>
    <w:rsid w:val="003C1865"/>
    <w:pPr>
      <w:tabs>
        <w:tab w:val="center" w:pos="4536"/>
        <w:tab w:val="right" w:pos="9072"/>
      </w:tabs>
    </w:pPr>
  </w:style>
  <w:style w:type="character" w:styleId="FooterChar" w:customStyle="1">
    <w:name w:val="Footer Char"/>
    <w:basedOn w:val="DefaultParagraphFont"/>
    <w:link w:val="Footer"/>
    <w:uiPriority w:val="99"/>
    <w:rsid w:val="003C1865"/>
    <w:rPr>
      <w:rFonts w:ascii="Franklin Gothic Book" w:cs="Times New Roman" w:eastAsia="Times New Roman" w:hAnsi="Franklin Gothic Book"/>
      <w:szCs w:val="24"/>
      <w:lang w:eastAsia="en-GB" w:val="es-ES_tradnl"/>
    </w:rPr>
  </w:style>
  <w:style w:type="character" w:styleId="Heading2Char" w:customStyle="1">
    <w:name w:val="Heading 2 Char"/>
    <w:basedOn w:val="DefaultParagraphFont"/>
    <w:link w:val="Heading2"/>
    <w:uiPriority w:val="9"/>
    <w:rsid w:val="006364BE"/>
    <w:rPr>
      <w:rFonts w:cstheme="majorBidi" w:eastAsiaTheme="majorEastAsia"/>
      <w:b w:val="1"/>
      <w:color w:val="1a496a"/>
      <w:sz w:val="24"/>
      <w:szCs w:val="26"/>
      <w:lang w:eastAsia="en-GB"/>
    </w:rPr>
  </w:style>
  <w:style w:type="character" w:styleId="Heading3Char" w:customStyle="1">
    <w:name w:val="Heading 3 Char"/>
    <w:basedOn w:val="DefaultParagraphFont"/>
    <w:link w:val="Heading3"/>
    <w:uiPriority w:val="9"/>
    <w:rsid w:val="00E378FE"/>
    <w:rPr>
      <w:rFonts w:cstheme="majorBidi" w:eastAsiaTheme="majorEastAsia"/>
      <w:color w:val="44546a" w:themeColor="text2"/>
      <w:sz w:val="24"/>
      <w:szCs w:val="24"/>
      <w:lang w:eastAsia="en-GB"/>
    </w:rPr>
  </w:style>
  <w:style w:type="paragraph" w:styleId="TOCHeading">
    <w:name w:val="TOC Heading"/>
    <w:basedOn w:val="Heading1"/>
    <w:next w:val="Normal"/>
    <w:uiPriority w:val="39"/>
    <w:unhideWhenUsed w:val="1"/>
    <w:qFormat w:val="1"/>
    <w:rsid w:val="007D41AB"/>
    <w:pPr>
      <w:spacing w:line="259" w:lineRule="auto"/>
      <w:outlineLvl w:val="9"/>
    </w:pPr>
    <w:rPr>
      <w:rFonts w:asciiTheme="majorHAnsi" w:hAnsiTheme="majorHAnsi"/>
      <w:b w:val="0"/>
      <w:color w:val="2f5496" w:themeColor="accent1" w:themeShade="0000BF"/>
      <w:sz w:val="32"/>
    </w:rPr>
  </w:style>
  <w:style w:type="paragraph" w:styleId="TOC1">
    <w:name w:val="toc 1"/>
    <w:basedOn w:val="Normal"/>
    <w:next w:val="Normal"/>
    <w:autoRedefine w:val="1"/>
    <w:uiPriority w:val="39"/>
    <w:unhideWhenUsed w:val="1"/>
    <w:rsid w:val="007D41AB"/>
    <w:pPr>
      <w:spacing w:after="100"/>
    </w:pPr>
  </w:style>
  <w:style w:type="paragraph" w:styleId="TOC2">
    <w:name w:val="toc 2"/>
    <w:basedOn w:val="Normal"/>
    <w:next w:val="Normal"/>
    <w:autoRedefine w:val="1"/>
    <w:uiPriority w:val="39"/>
    <w:unhideWhenUsed w:val="1"/>
    <w:rsid w:val="007D41AB"/>
    <w:pPr>
      <w:spacing w:after="100"/>
      <w:ind w:left="220"/>
    </w:pPr>
  </w:style>
  <w:style w:type="paragraph" w:styleId="TOC3">
    <w:name w:val="toc 3"/>
    <w:basedOn w:val="Normal"/>
    <w:next w:val="Normal"/>
    <w:autoRedefine w:val="1"/>
    <w:uiPriority w:val="39"/>
    <w:unhideWhenUsed w:val="1"/>
    <w:rsid w:val="007D41AB"/>
    <w:pPr>
      <w:spacing w:after="100"/>
      <w:ind w:left="440"/>
    </w:pPr>
  </w:style>
  <w:style w:type="character" w:styleId="Hyperlink">
    <w:name w:val="Hyperlink"/>
    <w:basedOn w:val="DefaultParagraphFont"/>
    <w:uiPriority w:val="99"/>
    <w:unhideWhenUsed w:val="1"/>
    <w:rsid w:val="007D41AB"/>
    <w:rPr>
      <w:color w:val="0563c1" w:themeColor="hyperlink"/>
      <w:u w:val="single"/>
    </w:rPr>
  </w:style>
  <w:style w:type="paragraph" w:styleId="ListParagraph">
    <w:name w:val="List Paragraph"/>
    <w:aliases w:val="kop 4"/>
    <w:basedOn w:val="Normal"/>
    <w:uiPriority w:val="34"/>
    <w:qFormat w:val="1"/>
    <w:rsid w:val="00083481"/>
    <w:pPr>
      <w:ind w:left="720"/>
      <w:contextualSpacing w:val="1"/>
    </w:pPr>
  </w:style>
  <w:style w:type="character" w:styleId="UnresolvedMention">
    <w:name w:val="Unresolved Mention"/>
    <w:basedOn w:val="DefaultParagraphFont"/>
    <w:uiPriority w:val="99"/>
    <w:semiHidden w:val="1"/>
    <w:unhideWhenUsed w:val="1"/>
    <w:rsid w:val="0013735A"/>
    <w:rPr>
      <w:color w:val="605e5c"/>
      <w:shd w:color="auto" w:fill="e1dfdd" w:val="clear"/>
    </w:rPr>
  </w:style>
  <w:style w:type="character" w:styleId="cf01" w:customStyle="1">
    <w:name w:val="cf01"/>
    <w:basedOn w:val="DefaultParagraphFont"/>
    <w:rsid w:val="009820C9"/>
    <w:rPr>
      <w:rFonts w:ascii="Segoe UI" w:cs="Segoe UI" w:hAnsi="Segoe UI" w:hint="default"/>
      <w:color w:val="262626"/>
      <w:sz w:val="36"/>
      <w:szCs w:val="36"/>
    </w:rPr>
  </w:style>
  <w:style w:type="table" w:styleId="PlainTable1">
    <w:name w:val="Plain Table 1"/>
    <w:basedOn w:val="TableNormal"/>
    <w:uiPriority w:val="41"/>
    <w:rsid w:val="004D2769"/>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CommentReference">
    <w:name w:val="annotation reference"/>
    <w:basedOn w:val="DefaultParagraphFont"/>
    <w:uiPriority w:val="99"/>
    <w:semiHidden w:val="1"/>
    <w:unhideWhenUsed w:val="1"/>
    <w:rsid w:val="00153F0E"/>
    <w:rPr>
      <w:sz w:val="16"/>
      <w:szCs w:val="16"/>
    </w:rPr>
  </w:style>
  <w:style w:type="paragraph" w:styleId="CommentText">
    <w:name w:val="annotation text"/>
    <w:basedOn w:val="Normal"/>
    <w:link w:val="CommentTextChar"/>
    <w:uiPriority w:val="99"/>
    <w:unhideWhenUsed w:val="1"/>
    <w:rsid w:val="00153F0E"/>
    <w:rPr>
      <w:sz w:val="20"/>
      <w:szCs w:val="20"/>
    </w:rPr>
  </w:style>
  <w:style w:type="character" w:styleId="CommentTextChar" w:customStyle="1">
    <w:name w:val="Comment Text Char"/>
    <w:basedOn w:val="DefaultParagraphFont"/>
    <w:link w:val="CommentText"/>
    <w:uiPriority w:val="99"/>
    <w:rsid w:val="00153F0E"/>
    <w:rPr>
      <w:rFonts w:ascii="Open Sans" w:cs="Times New Roman" w:eastAsia="Times New Roman" w:hAnsi="Open Sans"/>
      <w:sz w:val="20"/>
      <w:szCs w:val="20"/>
      <w:lang w:eastAsia="en-GB" w:val="es-ES_tradnl"/>
    </w:rPr>
  </w:style>
  <w:style w:type="paragraph" w:styleId="CommentSubject">
    <w:name w:val="annotation subject"/>
    <w:basedOn w:val="CommentText"/>
    <w:next w:val="CommentText"/>
    <w:link w:val="CommentSubjectChar"/>
    <w:uiPriority w:val="99"/>
    <w:semiHidden w:val="1"/>
    <w:unhideWhenUsed w:val="1"/>
    <w:rsid w:val="00153F0E"/>
    <w:rPr>
      <w:b w:val="1"/>
      <w:bCs w:val="1"/>
    </w:rPr>
  </w:style>
  <w:style w:type="character" w:styleId="CommentSubjectChar" w:customStyle="1">
    <w:name w:val="Comment Subject Char"/>
    <w:basedOn w:val="CommentTextChar"/>
    <w:link w:val="CommentSubject"/>
    <w:uiPriority w:val="99"/>
    <w:semiHidden w:val="1"/>
    <w:rsid w:val="00153F0E"/>
    <w:rPr>
      <w:rFonts w:ascii="Open Sans" w:cs="Times New Roman" w:eastAsia="Times New Roman" w:hAnsi="Open Sans"/>
      <w:b w:val="1"/>
      <w:bCs w:val="1"/>
      <w:sz w:val="20"/>
      <w:szCs w:val="20"/>
      <w:lang w:eastAsia="en-GB" w:val="es-ES_tradnl"/>
    </w:rPr>
  </w:style>
  <w:style w:type="paragraph" w:styleId="Revision">
    <w:name w:val="Revision"/>
    <w:hidden w:val="1"/>
    <w:uiPriority w:val="99"/>
    <w:semiHidden w:val="1"/>
    <w:rsid w:val="0058402F"/>
    <w:rPr>
      <w:rFonts w:cs="Times New Roman" w:eastAsia="Times New Roman"/>
      <w:szCs w:val="24"/>
      <w:lang w:eastAsia="en-GB" w:val="es-ES_tradnl"/>
    </w:rPr>
  </w:style>
  <w:style w:type="paragraph" w:styleId="NormalWeb">
    <w:name w:val="Normal (Web)"/>
    <w:basedOn w:val="Normal"/>
    <w:uiPriority w:val="99"/>
    <w:semiHidden w:val="1"/>
    <w:unhideWhenUsed w:val="1"/>
    <w:rsid w:val="009D162C"/>
    <w:pPr>
      <w:spacing w:after="100" w:afterAutospacing="1" w:before="100" w:beforeAutospacing="1"/>
      <w:jc w:val="left"/>
    </w:pPr>
    <w:rPr>
      <w:rFonts w:ascii="Times New Roman" w:hAnsi="Times New Roman"/>
      <w:sz w:val="24"/>
      <w:lang w:eastAsia="en-US" w:val="en-US"/>
    </w:rPr>
  </w:style>
  <w:style w:type="character" w:styleId="FollowedHyperlink">
    <w:name w:val="FollowedHyperlink"/>
    <w:basedOn w:val="DefaultParagraphFont"/>
    <w:uiPriority w:val="99"/>
    <w:semiHidden w:val="1"/>
    <w:unhideWhenUsed w:val="1"/>
    <w:rsid w:val="00100A20"/>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rPr>
      <w:rFonts w:ascii="Calibri" w:cs="Calibri" w:eastAsia="Calibri" w:hAnsi="Calibri"/>
      <w:sz w:val="24"/>
      <w:szCs w:val="24"/>
    </w:rPr>
    <w:tblPr>
      <w:tblStyleRowBandSize w:val="1"/>
      <w:tblStyleColBandSize w:val="1"/>
      <w:tblCellMar>
        <w:left w:w="108.0" w:type="dxa"/>
        <w:right w:w="108.0" w:type="dxa"/>
      </w:tblCellMar>
    </w:tblPr>
  </w:style>
  <w:style w:type="table" w:styleId="a2" w:customStyle="1">
    <w:basedOn w:val="TableNormal1"/>
    <w:rPr>
      <w:rFonts w:ascii="Calibri" w:cs="Calibri" w:eastAsia="Calibri" w:hAnsi="Calibri"/>
      <w:sz w:val="24"/>
      <w:szCs w:val="24"/>
    </w:rPr>
    <w:tblPr>
      <w:tblStyleRowBandSize w:val="1"/>
      <w:tblStyleColBandSize w:val="1"/>
      <w:tblCellMar>
        <w:left w:w="108.0" w:type="dxa"/>
        <w:right w:w="108.0" w:type="dxa"/>
      </w:tblCellMar>
    </w:tblPr>
  </w:style>
  <w:style w:type="table" w:styleId="a3" w:customStyle="1">
    <w:basedOn w:val="TableNormal1"/>
    <w:rPr>
      <w:rFonts w:ascii="Calibri" w:cs="Calibri" w:eastAsia="Calibri" w:hAnsi="Calibri"/>
      <w:sz w:val="24"/>
      <w:szCs w:val="24"/>
    </w:rPr>
    <w:tblPr>
      <w:tblStyleRowBandSize w:val="1"/>
      <w:tblStyleColBandSize w:val="1"/>
      <w:tblCellMar>
        <w:left w:w="108.0" w:type="dxa"/>
        <w:right w:w="108.0" w:type="dxa"/>
      </w:tblCellMar>
    </w:tblPr>
  </w:style>
  <w:style w:type="table" w:styleId="a4" w:customStyle="1">
    <w:basedOn w:val="TableNormal1"/>
    <w:rPr>
      <w:rFonts w:ascii="Calibri" w:cs="Calibri" w:eastAsia="Calibri" w:hAnsi="Calibri"/>
      <w:sz w:val="24"/>
      <w:szCs w:val="24"/>
    </w:r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numbering" w:styleId="Stijl1" w:customStyle="1">
    <w:name w:val="Stijl1"/>
    <w:uiPriority w:val="99"/>
    <w:rsid w:val="00E56323"/>
    <w:pPr>
      <w:numPr>
        <w:numId w:val="2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nep.org/es" TargetMode="External"/><Relationship Id="rId22" Type="http://schemas.openxmlformats.org/officeDocument/2006/relationships/hyperlink" Target="https://www.globalreporting.org/" TargetMode="External"/><Relationship Id="rId21" Type="http://schemas.openxmlformats.org/officeDocument/2006/relationships/hyperlink" Target="https://www.epa.gov/" TargetMode="External"/><Relationship Id="rId24" Type="http://schemas.openxmlformats.org/officeDocument/2006/relationships/hyperlink" Target="https://www.cdp.net/es/" TargetMode="External"/><Relationship Id="rId23" Type="http://schemas.openxmlformats.org/officeDocument/2006/relationships/hyperlink" Target="https://www.wbcsd.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thenaturalstep.org/" TargetMode="External"/><Relationship Id="rId25" Type="http://schemas.openxmlformats.org/officeDocument/2006/relationships/hyperlink" Target="https://www.ellenmacarthurfoundation.org/" TargetMode="External"/><Relationship Id="rId28" Type="http://schemas.openxmlformats.org/officeDocument/2006/relationships/hyperlink" Target="https://www.corporateecoforum.com/" TargetMode="External"/><Relationship Id="rId27" Type="http://schemas.openxmlformats.org/officeDocument/2006/relationships/hyperlink" Target="https://www.greenbiz.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3.png"/><Relationship Id="rId8" Type="http://schemas.openxmlformats.org/officeDocument/2006/relationships/image" Target="media/image12.png"/><Relationship Id="rId31" Type="http://schemas.openxmlformats.org/officeDocument/2006/relationships/header" Target="header1.xml"/><Relationship Id="rId30" Type="http://schemas.openxmlformats.org/officeDocument/2006/relationships/header" Target="header3.xml"/><Relationship Id="rId11" Type="http://schemas.openxmlformats.org/officeDocument/2006/relationships/image" Target="media/image11.jpg"/><Relationship Id="rId33" Type="http://schemas.openxmlformats.org/officeDocument/2006/relationships/footer" Target="footer2.xml"/><Relationship Id="rId10" Type="http://schemas.openxmlformats.org/officeDocument/2006/relationships/image" Target="media/image9.png"/><Relationship Id="rId32"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image" Target="media/image10.png"/><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hyperlink" Target="https://joint-research-centre.ec.europa.eu/greencomp-european-sustainability-competence-framework_en" TargetMode="External"/><Relationship Id="rId16" Type="http://schemas.openxmlformats.org/officeDocument/2006/relationships/hyperlink" Target="https://commission.europa.eu/strategy-and-policy/priorities-2019-2024/european-green-deal_es" TargetMode="External"/><Relationship Id="rId19" Type="http://schemas.openxmlformats.org/officeDocument/2006/relationships/hyperlink" Target="https://op.europa.eu/en/publication-detail/-/publication/e634b432-a969-4814-9f2b-bbe3042ca86f/language-en" TargetMode="External"/><Relationship Id="rId18" Type="http://schemas.openxmlformats.org/officeDocument/2006/relationships/hyperlink" Target="https://new-european-bauhaus.europa.eu/index_e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Prompt-regular.ttf"/><Relationship Id="rId2" Type="http://schemas.openxmlformats.org/officeDocument/2006/relationships/font" Target="fonts/Prompt-bold.ttf"/><Relationship Id="rId3" Type="http://schemas.openxmlformats.org/officeDocument/2006/relationships/font" Target="fonts/Prompt-italic.ttf"/><Relationship Id="rId4" Type="http://schemas.openxmlformats.org/officeDocument/2006/relationships/font" Target="fonts/Prompt-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3.png"/><Relationship Id="rId3"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P9XARgVPHjGHbf/XF6KRouelCA==">CgMxLjAyCWguNDl4MmlrNTIJaC4xcHhlendjMgloLjJwMmNzcnkyCWguMTQ3bjJ6cjIJaC4zbzdhbG5rMgloLjIzY2t2dmQyCGguaWh2NjM2MgloLjMyaGlvcXoyCWguMWhtc3l5czIJaC40MW1naG1sMgloLjJncnFydWUyCGgudngxMjI3MgloLjNmd29rcTAyCWguMXYxeXV4dDIJaC40ZjFtZGxtMgloLjJ1NndudGYyCWguMTljNnkxODIJaC4zdGJ1Z3AxOAByITFBSDg3WS12ZHZrb3lNOHdoX1ZvdWdxcVcwbGRrQWFh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2024-06-20T05:13:00Z</dcterms:created>
  <dc:creator>Nynke de Jager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0x010100466AB66A56A27B469E4A7486AFEC5C3D</vt:lpwstr>
  </property>
  <property fmtid="{D5CDD505-2E9C-101B-9397-08002B2CF9AE}" pid="3" name="MediaServiceImageTags">
    <vt:lpwstr>MediaServiceImageTags</vt:lpwstr>
  </property>
</Properties>
</file>