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color w:val="ff0000"/>
        </w:rPr>
        <w:drawing>
          <wp:inline distB="0" distT="0" distL="0" distR="0">
            <wp:extent cx="5861401" cy="4164930"/>
            <wp:effectExtent b="0" l="0" r="0" t="0"/>
            <wp:docPr id="195837860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4472" l="0" r="0" t="14472"/>
                    <a:stretch>
                      <a:fillRect/>
                    </a:stretch>
                  </pic:blipFill>
                  <pic:spPr>
                    <a:xfrm>
                      <a:off x="0" y="0"/>
                      <a:ext cx="5861401" cy="4164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color w:val="1a496a"/>
          <w:sz w:val="40"/>
          <w:szCs w:val="40"/>
        </w:rPr>
      </w:pPr>
      <w:bookmarkStart w:colFirst="0" w:colLast="0" w:name="_heading=h.49x2ik5" w:id="0"/>
      <w:bookmarkEnd w:id="0"/>
      <w:r w:rsidDel="00000000" w:rsidR="00000000" w:rsidRPr="00000000">
        <w:rPr>
          <w:b w:val="1"/>
          <w:color w:val="1a496a"/>
          <w:sz w:val="40"/>
          <w:szCs w:val="40"/>
          <w:rtl w:val="0"/>
        </w:rPr>
        <w:t xml:space="preserve">Fenntartható és szociális vállalkozói tevékenység az ifjúság számára (SUSE) program</w:t>
      </w:r>
    </w:p>
    <w:p w:rsidR="00000000" w:rsidDel="00000000" w:rsidP="00000000" w:rsidRDefault="00000000" w:rsidRPr="00000000" w14:paraId="00000007">
      <w:pPr>
        <w:tabs>
          <w:tab w:val="right" w:leader="none" w:pos="9072"/>
        </w:tabs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right" w:leader="none" w:pos="9072"/>
        </w:tabs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Útmutató az </w:t>
      </w:r>
      <w:r w:rsidDel="00000000" w:rsidR="00000000" w:rsidRPr="00000000">
        <w:rPr>
          <w:b w:val="1"/>
          <w:sz w:val="24"/>
          <w:szCs w:val="24"/>
          <w:rtl w:val="0"/>
        </w:rPr>
        <w:t xml:space="preserve">üzleti szféra környezetet károsító hatásának megértéséhez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Prompt" w:cs="Prompt" w:eastAsia="Prompt" w:hAnsi="Prompt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mallCaps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  <w:t xml:space="preserve">Minden jog fenntartva.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80" w:lineRule="auto"/>
        <w:ind w:left="720" w:hanging="360"/>
        <w:jc w:val="left"/>
        <w:rPr>
          <w:rFonts w:ascii="Arial" w:cs="Arial" w:eastAsia="Arial" w:hAnsi="Arial"/>
          <w:smallCaps w:val="1"/>
          <w:color w:val="0070c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mallCaps w:val="1"/>
          <w:color w:val="0070c0"/>
          <w:sz w:val="28"/>
          <w:szCs w:val="28"/>
          <w:rtl w:val="0"/>
        </w:rPr>
        <w:t xml:space="preserve">Szerzői jog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© Copyright 2023 Fenntartható és társadalmi vállalkozói tevékenység a fiatalok számára</w:t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Partner tagok:                                                      </w:t>
      </w:r>
    </w:p>
    <w:p w:rsidR="00000000" w:rsidDel="00000000" w:rsidP="00000000" w:rsidRDefault="00000000" w:rsidRPr="00000000" w14:paraId="00000012">
      <w:pPr>
        <w:tabs>
          <w:tab w:val="left" w:leader="none" w:pos="7095"/>
        </w:tabs>
        <w:rPr>
          <w:b w:val="1"/>
          <w:color w:val="1a496a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127000</wp:posOffset>
                </wp:positionV>
                <wp:extent cx="5335905" cy="2322195"/>
                <wp:effectExtent b="0" l="0" r="0" t="0"/>
                <wp:wrapNone/>
                <wp:docPr id="195837859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78025" y="2618900"/>
                          <a:ext cx="5335905" cy="2322195"/>
                          <a:chOff x="2678025" y="2618900"/>
                          <a:chExt cx="5335950" cy="2322200"/>
                        </a:xfrm>
                      </wpg:grpSpPr>
                      <wpg:grpSp>
                        <wpg:cNvGrpSpPr/>
                        <wpg:grpSpPr>
                          <a:xfrm>
                            <a:off x="2678048" y="2618903"/>
                            <a:ext cx="5335905" cy="2322195"/>
                            <a:chOff x="0" y="0"/>
                            <a:chExt cx="5335905" cy="232219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5335900" cy="232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Afbeelding met tekst, bloem, Lettertype, Graphics&#10;&#10;Automatisch gegenereerde beschrijving" id="5" name="Shape 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19125" y="1476375"/>
                              <a:ext cx="898525" cy="845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Afbeelding met tekst, Graphics, grafische vormgeving, Lettertype&#10;&#10;Automatisch gegenereerde beschrijving" id="6" name="Shape 6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962150" y="0"/>
                              <a:ext cx="1844040" cy="142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Afbeelding met schermopname, Graphics, ontwerp&#10;&#10;Automatisch gegenereerde beschrijving" id="7" name="Shape 7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133350"/>
                              <a:ext cx="2096135" cy="1341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695700" y="361950"/>
                              <a:ext cx="1287145" cy="861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Afbeelding met ontwerp, schermopname, tekst, Graphics&#10;&#10;Automatisch gegenereerde beschrijving" id="9" name="Shape 9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429125" y="1409700"/>
                              <a:ext cx="906780" cy="906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Inqubator Leeuwarden | Startersdagen.com &amp; Ondernemersdagen.com" id="10" name="Shape 10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876425" y="1733550"/>
                              <a:ext cx="1973580" cy="488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127000</wp:posOffset>
                </wp:positionV>
                <wp:extent cx="5335905" cy="2322195"/>
                <wp:effectExtent b="0" l="0" r="0" t="0"/>
                <wp:wrapNone/>
                <wp:docPr id="195837859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5905" cy="2322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rPr>
          <w:b w:val="1"/>
          <w:color w:val="1a496a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color w:val="1a496a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color w:val="1a496a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color w:val="1a496a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color w:val="1a496a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color w:val="1a496a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color w:val="1a496a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color w:val="1a496a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color w:val="1a496a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Prompt" w:cs="Prompt" w:eastAsia="Prompt" w:hAnsi="Prompt"/>
          <w:i w:val="1"/>
          <w:sz w:val="15"/>
          <w:szCs w:val="15"/>
        </w:rPr>
      </w:pPr>
      <w:bookmarkStart w:colFirst="0" w:colLast="0" w:name="_heading=h.1pxezwc" w:id="1"/>
      <w:bookmarkEnd w:id="1"/>
      <w:r w:rsidDel="00000000" w:rsidR="00000000" w:rsidRPr="00000000">
        <w:rPr>
          <w:rFonts w:ascii="Prompt" w:cs="Prompt" w:eastAsia="Prompt" w:hAnsi="Prompt"/>
          <w:i w:val="1"/>
          <w:sz w:val="15"/>
          <w:szCs w:val="15"/>
          <w:rtl w:val="0"/>
        </w:rPr>
        <w:t xml:space="preserve">Az Európai Unió finanszírozásával. A kifejtett nézetek és vélemények azonban kizárólag a szerző(k) sajátjai, és nem feltétlenül tükrözik az Európai Unió vagy az Európai Oktatási és Kulturális Végrehajtó Ügynökség (EACEA) véleményét. Ezekért sem az Európai Unió, sem az EACEA nem tehető felelőssé.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2963545</wp:posOffset>
            </wp:positionH>
            <wp:positionV relativeFrom="paragraph">
              <wp:posOffset>6350</wp:posOffset>
            </wp:positionV>
            <wp:extent cx="2797175" cy="587375"/>
            <wp:effectExtent b="0" l="0" r="0" t="0"/>
            <wp:wrapSquare wrapText="bothSides" distB="0" distT="0" distL="114300" distR="114300"/>
            <wp:docPr descr="Afbeelding met Lettertype, schermopname, Graphics, Elektrisch blauw&#10;&#10;Automatisch gegenereerde beschrijving" id="1958378597" name="image3.png"/>
            <a:graphic>
              <a:graphicData uri="http://schemas.openxmlformats.org/drawingml/2006/picture">
                <pic:pic>
                  <pic:nvPicPr>
                    <pic:cNvPr descr="Afbeelding met Lettertype, schermopname, Graphics, Elektrisch blauw&#10;&#10;Automatisch gegenereerde beschrijving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58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Prompt" w:cs="Prompt" w:eastAsia="Prompt" w:hAnsi="Prompt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Helvetica Neue" w:cs="Helvetica Neue" w:eastAsia="Helvetica Neue" w:hAnsi="Helvetica Neue"/>
          <w:color w:val="80808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Tartalom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2p2csry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Bevezető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47n2zr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1.A környezetromlás típusai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22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o7alnk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Szennyezés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22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3ckvvd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Az erőforrások kimerülése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22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ihv636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Élőhelypusztítás: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22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2hioqz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Éghajlatváltozás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44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hmsyys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Az éghajlatváltozás megértése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44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1mghml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Az éghajlatváltozás hatásai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grqrue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2.A vállalkozások szerepe a környezetromlásban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22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vx1227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Ipari hulladék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22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fwokq0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Kibocsátás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22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v1yuxt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Az erőforrások túlfogyasztása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22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f1mdlm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Földhasználat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u6wntf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3.A környezetromlás hatása a vállalkozásokra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9c6y18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4.A vállalkozások stratégiái a környezetkárosodás kezelésére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dot" w:pos="9062"/>
            </w:tabs>
            <w:spacing w:after="100" w:before="0" w:line="240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tbugp1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5.További források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1"/>
        <w:rPr/>
      </w:pPr>
      <w:bookmarkStart w:colFirst="0" w:colLast="0" w:name="_heading=h.2p2csry" w:id="2"/>
      <w:bookmarkEnd w:id="2"/>
      <w:r w:rsidDel="00000000" w:rsidR="00000000" w:rsidRPr="00000000">
        <w:rPr>
          <w:rtl w:val="0"/>
        </w:rPr>
        <w:t xml:space="preserve">Bevezető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 Környezetromlás és a környezet állapotának romlása alatt  az erőforrások, például a levegő, a víz és a talaj kimerülését, az ökoszisztémák pusztulását, az élőhelyek pusztulását, a vadon élő állatok kipusztulását és a környezetszennyezést értjük. Üzleti kontextusban a környezetromlás gyakran olyan ipari tevékenységek és folyamatok eredménye, amelyek nem vették megfelelően figyelembe a környezeti hatásokat. A vállalkozások számára kulcsfontosságú, hogy felismerjék a környezetromlásban betöltött szerepüket, és proaktív lépéseket tegyenek a negatív hatások mérséklésére. A fenntarthatóbb gyakorlatok bevezetésével a vállalkozások nemcsak a környezetkárosodással kapcsolatos kockázatokat kerülhetik el, hanem javulhat a hírnevük, a jogszabályoknak való megfelelésük, a működési hatékonyságuk, és potenciálisan új piacokra és a fenntartható termékek és szolgáltatások iránt érdeklődő ügyfélszegmensekhez is hozzáférhetnek.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rPr/>
      </w:pPr>
      <w:bookmarkStart w:colFirst="0" w:colLast="0" w:name="_heading=h.147n2zr" w:id="3"/>
      <w:bookmarkEnd w:id="3"/>
      <w:r w:rsidDel="00000000" w:rsidR="00000000" w:rsidRPr="00000000">
        <w:rPr>
          <w:rtl w:val="0"/>
        </w:rPr>
        <w:t xml:space="preserve">1.A környezetromlás típusai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2"/>
        <w:rPr/>
      </w:pPr>
      <w:bookmarkStart w:colFirst="0" w:colLast="0" w:name="_heading=h.3o7alnk" w:id="4"/>
      <w:bookmarkEnd w:id="4"/>
      <w:r w:rsidDel="00000000" w:rsidR="00000000" w:rsidRPr="00000000">
        <w:rPr>
          <w:rtl w:val="0"/>
        </w:rPr>
        <w:t xml:space="preserve">Szennyezés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A környezetszennyezés olyan kritikus környezeti probléma, amelynek kezelése az egyének, a közösségek, a kormányok és a vállalkozások összehangolt erőfeszítéseit igényli. Miközben jelentős kihívást jelent az egészség és a környezet számára, a növekvő tudatosság és a technológiai fejlődés utakat biztosít a szennyezés hatékony csökkentéséhez és kezeléséhez. A társadalom további fejlődésével és iparosodásával egyre inkább fenntartható és innovatív megoldásokra van szükség ahhoz, hogy a jövő generációi számára egészséges és stabil környezetet biztosítsunk.</w:t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Légszennyezés: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Források:</w:t>
      </w:r>
      <w:r w:rsidDel="00000000" w:rsidR="00000000" w:rsidRPr="00000000">
        <w:rPr>
          <w:rtl w:val="0"/>
        </w:rPr>
        <w:t xml:space="preserve"> Fosszilis tüzelőanyagok elégetése, mezőgazdasági tevékenységek és hulladékégetés.</w:t>
      </w:r>
    </w:p>
    <w:p w:rsidR="00000000" w:rsidDel="00000000" w:rsidP="00000000" w:rsidRDefault="00000000" w:rsidRPr="00000000" w14:paraId="0000004F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Hatások:</w:t>
      </w:r>
      <w:r w:rsidDel="00000000" w:rsidR="00000000" w:rsidRPr="00000000">
        <w:rPr>
          <w:rtl w:val="0"/>
        </w:rPr>
        <w:t xml:space="preserve"> Légzőszervi és szív- és érrendszeri betegségek, savas eső, globális felmelegedés, valamint a vadon élő állatok és élőhelyeik károsodása.</w:t>
      </w:r>
    </w:p>
    <w:p w:rsidR="00000000" w:rsidDel="00000000" w:rsidP="00000000" w:rsidRDefault="00000000" w:rsidRPr="00000000" w14:paraId="00000050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Vízszennyezés: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Források:</w:t>
      </w:r>
      <w:r w:rsidDel="00000000" w:rsidR="00000000" w:rsidRPr="00000000">
        <w:rPr>
          <w:rtl w:val="0"/>
        </w:rPr>
        <w:t xml:space="preserve"> Ipari és mezőgazdasági vegyi anyagok kibocsátása, olajszennyezés, kezeletlen szennyvíz és szemetelés.</w:t>
      </w:r>
    </w:p>
    <w:p w:rsidR="00000000" w:rsidDel="00000000" w:rsidP="00000000" w:rsidRDefault="00000000" w:rsidRPr="00000000" w14:paraId="00000052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Hatások:</w:t>
      </w:r>
      <w:r w:rsidDel="00000000" w:rsidR="00000000" w:rsidRPr="00000000">
        <w:rPr>
          <w:rtl w:val="0"/>
        </w:rPr>
        <w:t xml:space="preserve"> Szennyezett ivóvíz, a vízi ökoszisztémák pusztulása és a táplálékláncok felbomlása.</w:t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Talajszennyezés: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Források:</w:t>
      </w:r>
      <w:r w:rsidDel="00000000" w:rsidR="00000000" w:rsidRPr="00000000">
        <w:rPr>
          <w:rtl w:val="0"/>
        </w:rPr>
        <w:t xml:space="preserve"> Peszticidek és műtrágyák használata a mezőgazdaságban, ipari szennyeződések, helytelen hulladéklerakás és bányászati tevékenységek.</w:t>
      </w:r>
    </w:p>
    <w:p w:rsidR="00000000" w:rsidDel="00000000" w:rsidP="00000000" w:rsidRDefault="00000000" w:rsidRPr="00000000" w14:paraId="00000055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Hatások: </w:t>
      </w:r>
      <w:r w:rsidDel="00000000" w:rsidR="00000000" w:rsidRPr="00000000">
        <w:rPr>
          <w:rtl w:val="0"/>
        </w:rPr>
        <w:t xml:space="preserve">Csökkent talajtermékenység, megváltozott talajszerkezet, mérgező növények és élelmiszerek, valamint a talajvíz szennyezése az esővízzel való beszivárgás következtében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Zajszennyezés: </w:t>
      </w:r>
    </w:p>
    <w:p w:rsidR="00000000" w:rsidDel="00000000" w:rsidP="00000000" w:rsidRDefault="00000000" w:rsidRPr="00000000" w14:paraId="00000057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Források:</w:t>
      </w:r>
      <w:r w:rsidDel="00000000" w:rsidR="00000000" w:rsidRPr="00000000">
        <w:rPr>
          <w:rtl w:val="0"/>
        </w:rPr>
        <w:t xml:space="preserve"> Ipari és építőipari tevékenységek, közlekedési rendszerek, városfejlesztés és szabadidős tevékenységek.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/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Hatások: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Halláskárosodás, stresszel kapcsolatos betegségek, magas vérnyomás, alvászavarok és a vadon élő állatok zavarása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Fényszennyezés:</w:t>
      </w:r>
    </w:p>
    <w:p w:rsidR="00000000" w:rsidDel="00000000" w:rsidP="00000000" w:rsidRDefault="00000000" w:rsidRPr="00000000" w14:paraId="0000005A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Források:</w:t>
      </w:r>
      <w:r w:rsidDel="00000000" w:rsidR="00000000" w:rsidRPr="00000000">
        <w:rPr>
          <w:rtl w:val="0"/>
        </w:rPr>
        <w:t xml:space="preserve"> Túlvilágítás az utcai lámpák, reklámtáblák és épületek világítása által, különösen a városi területeken.</w:t>
      </w:r>
    </w:p>
    <w:p w:rsidR="00000000" w:rsidDel="00000000" w:rsidP="00000000" w:rsidRDefault="00000000" w:rsidRPr="00000000" w14:paraId="0000005B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Hatások: </w:t>
      </w:r>
      <w:r w:rsidDel="00000000" w:rsidR="00000000" w:rsidRPr="00000000">
        <w:rPr>
          <w:rtl w:val="0"/>
        </w:rPr>
        <w:t xml:space="preserve">Az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emberek és állatok alvási és ébrenléti ritmusának megzavarása, ami hatással van az egészségre és a viselkedésre;  az éjszakai égbolt elhomályosítása.</w:t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Hőszennyezés: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Források:</w:t>
      </w:r>
      <w:r w:rsidDel="00000000" w:rsidR="00000000" w:rsidRPr="00000000">
        <w:rPr>
          <w:rtl w:val="0"/>
        </w:rPr>
        <w:t xml:space="preserve"> Ipari hűtési folyamatok, erdőirtás és városi terjeszkedés.</w:t>
      </w:r>
    </w:p>
    <w:p w:rsidR="00000000" w:rsidDel="00000000" w:rsidP="00000000" w:rsidRDefault="00000000" w:rsidRPr="00000000" w14:paraId="0000005E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Hatások:</w:t>
      </w:r>
      <w:r w:rsidDel="00000000" w:rsidR="00000000" w:rsidRPr="00000000">
        <w:rPr>
          <w:rtl w:val="0"/>
        </w:rPr>
        <w:t xml:space="preserve"> A vízhőmérséklet változása az oxigénszint csökkenéséhez vezethet, és hatással lehet a vízi élővilágra.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rPr/>
      </w:pPr>
      <w:bookmarkStart w:colFirst="0" w:colLast="0" w:name="_heading=h.23ckvvd" w:id="5"/>
      <w:bookmarkEnd w:id="5"/>
      <w:r w:rsidDel="00000000" w:rsidR="00000000" w:rsidRPr="00000000">
        <w:rPr>
          <w:rtl w:val="0"/>
        </w:rPr>
        <w:t xml:space="preserve">Az erőforrások kimerülése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Az erőforrás kimerülése az erőforrás gyorsabb fogyasztását jelenti, mint amilyen gyorsan az erőforrás pótolható. A természeti erőforrások, amelyek közé tartozik a víz, a talaj, a fosszilis tüzelőanyagok, az ásványi anyagok és az erdők, alapvető fontosságúak az emberi túléléshez és a gazdasági fejlődéshez. A nem fenntartható kiaknázás és fogyasztási szokások azonban jelentős környezeti, gazdasági és társadalmi kihívásokhoz vezetnek. </w:t>
      </w:r>
    </w:p>
    <w:p w:rsidR="00000000" w:rsidDel="00000000" w:rsidP="00000000" w:rsidRDefault="00000000" w:rsidRPr="00000000" w14:paraId="0000006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Az erőforrások kimerítésének típusai:</w:t>
      </w:r>
    </w:p>
    <w:p w:rsidR="00000000" w:rsidDel="00000000" w:rsidP="00000000" w:rsidRDefault="00000000" w:rsidRPr="00000000" w14:paraId="00000063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Vízfogyás: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Vízgyűjtők és folyók:</w:t>
      </w:r>
      <w:r w:rsidDel="00000000" w:rsidR="00000000" w:rsidRPr="00000000">
        <w:rPr>
          <w:rtl w:val="0"/>
        </w:rPr>
        <w:t xml:space="preserve"> A mezőgazdasági, ipari és háztartási célú túlzott kitermelés a talajvízszint csökkenéséhez és a folyók kiszáradásához vezet.</w:t>
      </w:r>
    </w:p>
    <w:p w:rsidR="00000000" w:rsidDel="00000000" w:rsidP="00000000" w:rsidRDefault="00000000" w:rsidRPr="00000000" w14:paraId="00000065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Szennyezés:</w:t>
      </w:r>
      <w:r w:rsidDel="00000000" w:rsidR="00000000" w:rsidRPr="00000000">
        <w:rPr>
          <w:rtl w:val="0"/>
        </w:rPr>
        <w:t xml:space="preserve"> Az ipari, mezőgazdasági és háztartási hulladékból származó szennyezés csökkenti a tiszta vízhez való hozzáférést.</w:t>
      </w:r>
    </w:p>
    <w:p w:rsidR="00000000" w:rsidDel="00000000" w:rsidP="00000000" w:rsidRDefault="00000000" w:rsidRPr="00000000" w14:paraId="00000066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Hatás:</w:t>
      </w:r>
      <w:r w:rsidDel="00000000" w:rsidR="00000000" w:rsidRPr="00000000">
        <w:rPr>
          <w:rtl w:val="0"/>
        </w:rPr>
        <w:t xml:space="preserve"> Befolyásolja az ivóvízkészleteket, a mezőgazdasági termelékenységet és a természetes ökoszisztémákat.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A talaj kimerülése: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Erózió:</w:t>
      </w:r>
      <w:r w:rsidDel="00000000" w:rsidR="00000000" w:rsidRPr="00000000">
        <w:rPr>
          <w:rtl w:val="0"/>
        </w:rPr>
        <w:t xml:space="preserve"> Az erdőirtás, a túllegeltetés és a rossz mezőgazdasági gyakorlatok okozzák.</w:t>
      </w:r>
    </w:p>
    <w:p w:rsidR="00000000" w:rsidDel="00000000" w:rsidP="00000000" w:rsidRDefault="00000000" w:rsidRPr="00000000" w14:paraId="00000069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Tápanyagveszteség:</w:t>
      </w:r>
      <w:r w:rsidDel="00000000" w:rsidR="00000000" w:rsidRPr="00000000">
        <w:rPr>
          <w:rtl w:val="0"/>
        </w:rPr>
        <w:t xml:space="preserve"> A földterület túlzott használata a helyreállítási idő betartása vagy a megfelelő trágyázás nélkül tápanyagszegény talajokhoz vezet.</w:t>
      </w:r>
    </w:p>
    <w:p w:rsidR="00000000" w:rsidDel="00000000" w:rsidP="00000000" w:rsidRDefault="00000000" w:rsidRPr="00000000" w14:paraId="0000006A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Hatás:</w:t>
      </w:r>
      <w:r w:rsidDel="00000000" w:rsidR="00000000" w:rsidRPr="00000000">
        <w:rPr>
          <w:rtl w:val="0"/>
        </w:rPr>
        <w:t xml:space="preserve"> Csökkenti a mezőgazdasági terméshozamot, hozzájárul az élelmiszer-biztonság hiányához, és csökkenti a talaj széndioxid-elnyelő képességét.</w:t>
      </w:r>
    </w:p>
    <w:p w:rsidR="00000000" w:rsidDel="00000000" w:rsidP="00000000" w:rsidRDefault="00000000" w:rsidRPr="00000000" w14:paraId="0000006B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Fosszilis tüzelőanyagok kimerülése: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Túlfogyasztás:</w:t>
      </w:r>
      <w:r w:rsidDel="00000000" w:rsidR="00000000" w:rsidRPr="00000000">
        <w:rPr>
          <w:rtl w:val="0"/>
        </w:rPr>
        <w:t xml:space="preserve"> Az olaj, a szén és a földgáz túlzott felhasználása energiatermelésre.</w:t>
      </w:r>
    </w:p>
    <w:p w:rsidR="00000000" w:rsidDel="00000000" w:rsidP="00000000" w:rsidRDefault="00000000" w:rsidRPr="00000000" w14:paraId="0000006D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Csúcstermelés:</w:t>
      </w:r>
      <w:r w:rsidDel="00000000" w:rsidR="00000000" w:rsidRPr="00000000">
        <w:rPr>
          <w:rtl w:val="0"/>
        </w:rPr>
        <w:t xml:space="preserve"> Egyesek úgy vélik, hogy bizonyos üzemanyagok, például az olaj, elérik a kitermelés csúcspontját, amit csökkenés követ (olajcsúcs).</w:t>
      </w:r>
    </w:p>
    <w:p w:rsidR="00000000" w:rsidDel="00000000" w:rsidP="00000000" w:rsidRDefault="00000000" w:rsidRPr="00000000" w14:paraId="0000006E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Hatás:</w:t>
      </w:r>
      <w:r w:rsidDel="00000000" w:rsidR="00000000" w:rsidRPr="00000000">
        <w:rPr>
          <w:rtl w:val="0"/>
        </w:rPr>
        <w:t xml:space="preserve"> Energiaügyi válságokhoz, gazdasági instabilitáshoz és a környezeti szempontból érzékeny területek fokozott kizsákmányolásához vezet.</w:t>
      </w:r>
    </w:p>
    <w:p w:rsidR="00000000" w:rsidDel="00000000" w:rsidP="00000000" w:rsidRDefault="00000000" w:rsidRPr="00000000" w14:paraId="0000006F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Ásványi kimerülés: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Kitermelés:</w:t>
      </w:r>
      <w:r w:rsidDel="00000000" w:rsidR="00000000" w:rsidRPr="00000000">
        <w:rPr>
          <w:rtl w:val="0"/>
        </w:rPr>
        <w:t xml:space="preserve"> Ásványok, például arany, réz és ritka földfémek bányászata.</w:t>
      </w:r>
    </w:p>
    <w:p w:rsidR="00000000" w:rsidDel="00000000" w:rsidP="00000000" w:rsidRDefault="00000000" w:rsidRPr="00000000" w14:paraId="00000071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Korlátozott elérhetőség:</w:t>
      </w:r>
      <w:r w:rsidDel="00000000" w:rsidR="00000000" w:rsidRPr="00000000">
        <w:rPr>
          <w:rtl w:val="0"/>
        </w:rPr>
        <w:t xml:space="preserve"> Számos ásványi anyag véges készletű és meghatározott területeken található, ami geopolitikai feszültségekhez és környezeti károkhoz vezet.</w:t>
      </w:r>
    </w:p>
    <w:p w:rsidR="00000000" w:rsidDel="00000000" w:rsidP="00000000" w:rsidRDefault="00000000" w:rsidRPr="00000000" w14:paraId="00000072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Hatás:</w:t>
      </w:r>
      <w:r w:rsidDel="00000000" w:rsidR="00000000" w:rsidRPr="00000000">
        <w:rPr>
          <w:rtl w:val="0"/>
        </w:rPr>
        <w:t xml:space="preserve"> Az elektronikától az építőiparig számos iparágat érint, és erőforráskonfliktusokhoz vezethet.</w:t>
      </w:r>
    </w:p>
    <w:p w:rsidR="00000000" w:rsidDel="00000000" w:rsidP="00000000" w:rsidRDefault="00000000" w:rsidRPr="00000000" w14:paraId="00000073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Az erdők kimerülése: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Erdőirtás:</w:t>
      </w:r>
      <w:r w:rsidDel="00000000" w:rsidR="00000000" w:rsidRPr="00000000">
        <w:rPr>
          <w:rtl w:val="0"/>
        </w:rPr>
        <w:t xml:space="preserve"> Az erdők kiirtása a mezőgazdaság, a fakitermelés és a városiasodás érdekében.</w:t>
      </w:r>
    </w:p>
    <w:p w:rsidR="00000000" w:rsidDel="00000000" w:rsidP="00000000" w:rsidRDefault="00000000" w:rsidRPr="00000000" w14:paraId="00000076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Lebomlás:</w:t>
      </w:r>
      <w:r w:rsidDel="00000000" w:rsidR="00000000" w:rsidRPr="00000000">
        <w:rPr>
          <w:rtl w:val="0"/>
        </w:rPr>
        <w:t xml:space="preserve"> Az erdők egészségét és biológiai sokféleségét befolyásoló felaprózódás és szennyezés.</w:t>
      </w:r>
    </w:p>
    <w:p w:rsidR="00000000" w:rsidDel="00000000" w:rsidP="00000000" w:rsidRDefault="00000000" w:rsidRPr="00000000" w14:paraId="00000077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Hatás:</w:t>
      </w:r>
      <w:r w:rsidDel="00000000" w:rsidR="00000000" w:rsidRPr="00000000">
        <w:rPr>
          <w:rtl w:val="0"/>
        </w:rPr>
        <w:t xml:space="preserve"> A biológiai sokféleség csökkenése, a vízkörforgások megzavarása és a széndioxid megkötésének csökkenése miatt az éghajlatváltozáshoz való hozzájárulás.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2"/>
        <w:rPr/>
      </w:pPr>
      <w:bookmarkStart w:colFirst="0" w:colLast="0" w:name="_heading=h.ihv636" w:id="6"/>
      <w:bookmarkEnd w:id="6"/>
      <w:r w:rsidDel="00000000" w:rsidR="00000000" w:rsidRPr="00000000">
        <w:rPr>
          <w:rtl w:val="0"/>
        </w:rPr>
        <w:t xml:space="preserve">Élőhelypusztítás :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Az ökoszisztémák elvesztése a városi terjeszkedés, az erdőirtás és az ipari tevékenységek miatt.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Az élőhelypusztulás azt a folyamatot jelenti, amelynek során a természetes élőhely képtelenné válik a jelenlévő fajok eltartására; ez a folyamat a biológiai sokféleség kiszorulását vagy megsemmisülését eredményezi. Az élőhelyeket különböző emberi tevékenységek pusztítják el, és ha egyszer elvesznek, az ökológiai közösséget alkotó növény- és állatvilág közötti összetett kölcsönhatások visszavonhatatlanul megváltozhatnak.</w:t>
      </w:r>
    </w:p>
    <w:p w:rsidR="00000000" w:rsidDel="00000000" w:rsidP="00000000" w:rsidRDefault="00000000" w:rsidRPr="00000000" w14:paraId="0000007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Az élőhelypusztítás típusai:</w:t>
      </w:r>
    </w:p>
    <w:p w:rsidR="00000000" w:rsidDel="00000000" w:rsidP="00000000" w:rsidRDefault="00000000" w:rsidRPr="00000000" w14:paraId="0000007D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Erdőirtás: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1"/>
          <w:numId w:val="8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Leírás:</w:t>
      </w:r>
      <w:r w:rsidDel="00000000" w:rsidR="00000000" w:rsidRPr="00000000">
        <w:rPr>
          <w:rtl w:val="0"/>
        </w:rPr>
        <w:t xml:space="preserve"> Hatalmas erdőterületek eltávolítása fakitermelés, mezőgazdaság és városfejlesztés céljából.</w:t>
      </w:r>
    </w:p>
    <w:p w:rsidR="00000000" w:rsidDel="00000000" w:rsidP="00000000" w:rsidRDefault="00000000" w:rsidRPr="00000000" w14:paraId="0000007F">
      <w:pPr>
        <w:numPr>
          <w:ilvl w:val="1"/>
          <w:numId w:val="8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Hatás:</w:t>
      </w:r>
      <w:r w:rsidDel="00000000" w:rsidR="00000000" w:rsidRPr="00000000">
        <w:rPr>
          <w:rtl w:val="0"/>
        </w:rPr>
        <w:t xml:space="preserve"> A biológiai sokféleség csökkenése, a vízkörforgások megzavarása és a szén-dioxid megkötésének csökkenése miatt az éghajlatváltozáshoz való hozzájárulás.</w:t>
      </w:r>
    </w:p>
    <w:p w:rsidR="00000000" w:rsidDel="00000000" w:rsidP="00000000" w:rsidRDefault="00000000" w:rsidRPr="00000000" w14:paraId="00000080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Urbanizáció: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1"/>
          <w:numId w:val="8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Leírás:</w:t>
      </w:r>
      <w:r w:rsidDel="00000000" w:rsidR="00000000" w:rsidRPr="00000000">
        <w:rPr>
          <w:rtl w:val="0"/>
        </w:rPr>
        <w:t xml:space="preserve"> A városok és települések terjeszkedése gyakran a természetes élőhelyek pusztulásához vezet.</w:t>
      </w:r>
    </w:p>
    <w:p w:rsidR="00000000" w:rsidDel="00000000" w:rsidP="00000000" w:rsidRDefault="00000000" w:rsidRPr="00000000" w14:paraId="00000082">
      <w:pPr>
        <w:numPr>
          <w:ilvl w:val="1"/>
          <w:numId w:val="8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Hatás:</w:t>
      </w:r>
      <w:r w:rsidDel="00000000" w:rsidR="00000000" w:rsidRPr="00000000">
        <w:rPr>
          <w:rtl w:val="0"/>
        </w:rPr>
        <w:t xml:space="preserve"> Az ökoszisztémák elvesztése, a szennyezés növekedése és a helyi éghajlatot befolyásoló "hőszigetek" létrehozása.</w:t>
      </w:r>
    </w:p>
    <w:p w:rsidR="00000000" w:rsidDel="00000000" w:rsidP="00000000" w:rsidRDefault="00000000" w:rsidRPr="00000000" w14:paraId="00000083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Mezőgazdasági terjeszkedés: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1"/>
          <w:numId w:val="8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Leírás:</w:t>
      </w:r>
      <w:r w:rsidDel="00000000" w:rsidR="00000000" w:rsidRPr="00000000">
        <w:rPr>
          <w:rtl w:val="0"/>
        </w:rPr>
        <w:t xml:space="preserve"> A vadon élő területek mezőgazdasági területté alakítása olyan gyakorlatok révén, mint az égetés és az intenzív monokultúra.</w:t>
      </w:r>
    </w:p>
    <w:p w:rsidR="00000000" w:rsidDel="00000000" w:rsidP="00000000" w:rsidRDefault="00000000" w:rsidRPr="00000000" w14:paraId="00000085">
      <w:pPr>
        <w:numPr>
          <w:ilvl w:val="1"/>
          <w:numId w:val="8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Hatás:</w:t>
      </w:r>
      <w:r w:rsidDel="00000000" w:rsidR="00000000" w:rsidRPr="00000000">
        <w:rPr>
          <w:rtl w:val="0"/>
        </w:rPr>
        <w:t xml:space="preserve"> A talajromlás, a természetes növény- és állatvilág elvesztése és a természetes vízrendszerek megzavarása.</w:t>
      </w:r>
    </w:p>
    <w:p w:rsidR="00000000" w:rsidDel="00000000" w:rsidP="00000000" w:rsidRDefault="00000000" w:rsidRPr="00000000" w14:paraId="00000086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Bányászat és kitermelés: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1"/>
          <w:numId w:val="8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Leírás:</w:t>
      </w:r>
      <w:r w:rsidDel="00000000" w:rsidR="00000000" w:rsidRPr="00000000">
        <w:rPr>
          <w:rtl w:val="0"/>
        </w:rPr>
        <w:t xml:space="preserve"> Az ásványi anyagok és tüzelőanyagok kitermelése érdekében végzett földkitermelés jelentősen megváltoztathatja vagy elpusztíthatja a helyi tájat.</w:t>
      </w:r>
    </w:p>
    <w:p w:rsidR="00000000" w:rsidDel="00000000" w:rsidP="00000000" w:rsidRDefault="00000000" w:rsidRPr="00000000" w14:paraId="00000088">
      <w:pPr>
        <w:numPr>
          <w:ilvl w:val="1"/>
          <w:numId w:val="8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Hatás:</w:t>
      </w:r>
      <w:r w:rsidDel="00000000" w:rsidR="00000000" w:rsidRPr="00000000">
        <w:rPr>
          <w:rtl w:val="0"/>
        </w:rPr>
        <w:t xml:space="preserve"> talajerózió, vízszennyezés és a biológiai sokféleség csökkenése.</w:t>
      </w:r>
    </w:p>
    <w:p w:rsidR="00000000" w:rsidDel="00000000" w:rsidP="00000000" w:rsidRDefault="00000000" w:rsidRPr="00000000" w14:paraId="00000089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Infrastruktúrafejlesztés: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1"/>
          <w:numId w:val="8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Leírás:</w:t>
      </w:r>
      <w:r w:rsidDel="00000000" w:rsidR="00000000" w:rsidRPr="00000000">
        <w:rPr>
          <w:rtl w:val="0"/>
        </w:rPr>
        <w:t xml:space="preserve"> Az utak, gátak és egyéb infrastruktúrák építése feldarabolhatja az élőhelyeket és megváltoztathatja a tájat.</w:t>
      </w:r>
    </w:p>
    <w:p w:rsidR="00000000" w:rsidDel="00000000" w:rsidP="00000000" w:rsidRDefault="00000000" w:rsidRPr="00000000" w14:paraId="0000008B">
      <w:pPr>
        <w:numPr>
          <w:ilvl w:val="1"/>
          <w:numId w:val="8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Hatás:</w:t>
      </w:r>
      <w:r w:rsidDel="00000000" w:rsidR="00000000" w:rsidRPr="00000000">
        <w:rPr>
          <w:rtl w:val="0"/>
        </w:rPr>
        <w:t xml:space="preserve"> Az állatok vándorlási útvonalainak megszakadása, a folyók áramlásának megváltozása és az ember és a vadon élő állatok közötti konfliktusok növekedése.</w:t>
      </w:r>
    </w:p>
    <w:p w:rsidR="00000000" w:rsidDel="00000000" w:rsidP="00000000" w:rsidRDefault="00000000" w:rsidRPr="00000000" w14:paraId="0000008C">
      <w:pPr>
        <w:ind w:left="144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144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2"/>
        <w:rPr/>
      </w:pPr>
      <w:bookmarkStart w:colFirst="0" w:colLast="0" w:name="_heading=h.32hioqz" w:id="7"/>
      <w:bookmarkEnd w:id="7"/>
      <w:r w:rsidDel="00000000" w:rsidR="00000000" w:rsidRPr="00000000">
        <w:rPr>
          <w:rtl w:val="0"/>
        </w:rPr>
        <w:t xml:space="preserve">Éghajlatváltozás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Az ipari folyamatokból származó üvegházhatású gázok kibocsátása által okozott globális felmelegedés.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Az éghajlatváltozás a globális hőmérséklet és az időjárási minták idővel bekövetkező jelentős változásaira utal. Bár az éghajlat a Föld történelme során mindig is változott, a napjainkban tapasztalható gyors felmelegedés elsősorban az emberi tevékenységeknek köszönhető. 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3"/>
        <w:ind w:firstLine="720"/>
        <w:rPr/>
      </w:pPr>
      <w:bookmarkStart w:colFirst="0" w:colLast="0" w:name="_heading=h.1hmsyys" w:id="8"/>
      <w:bookmarkEnd w:id="8"/>
      <w:r w:rsidDel="00000000" w:rsidR="00000000" w:rsidRPr="00000000">
        <w:rPr>
          <w:rtl w:val="0"/>
        </w:rPr>
        <w:t xml:space="preserve">Az éghajlatváltozás megértése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b w:val="1"/>
          <w:rtl w:val="0"/>
        </w:rPr>
        <w:t xml:space="preserve">Az éghajlatváltozás okai: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1"/>
          <w:numId w:val="9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Üvegházhatású gázok kibocsátása:</w:t>
      </w:r>
      <w:r w:rsidDel="00000000" w:rsidR="00000000" w:rsidRPr="00000000">
        <w:rPr>
          <w:rtl w:val="0"/>
        </w:rPr>
        <w:t xml:space="preserve"> A fosszilis tüzelőanyagok (például szén, kőolaj és földgáz) energetikai célú elégetése, az erdőirtás, az ipari folyamatok és egyes mezőgazdasági gyakorlatok növelik az üvegházhatású gázok koncentrációját a légkörben.</w:t>
      </w:r>
    </w:p>
    <w:p w:rsidR="00000000" w:rsidDel="00000000" w:rsidP="00000000" w:rsidRDefault="00000000" w:rsidRPr="00000000" w14:paraId="00000098">
      <w:pPr>
        <w:numPr>
          <w:ilvl w:val="1"/>
          <w:numId w:val="9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Erdőirtás:</w:t>
      </w:r>
      <w:r w:rsidDel="00000000" w:rsidR="00000000" w:rsidRPr="00000000">
        <w:rPr>
          <w:rtl w:val="0"/>
        </w:rPr>
        <w:t xml:space="preserve"> A fák elnyelik a szén-dioxidot (CO2), az üvegházhatású gázok egyikét. Az erdők kivágásakor nemcsak ez a CO2-elnyelő képesség csökken, hanem a fákban tárolt szén is visszakerül a légkörbe.</w:t>
      </w:r>
    </w:p>
    <w:p w:rsidR="00000000" w:rsidDel="00000000" w:rsidP="00000000" w:rsidRDefault="00000000" w:rsidRPr="00000000" w14:paraId="00000099">
      <w:pPr>
        <w:numPr>
          <w:ilvl w:val="1"/>
          <w:numId w:val="9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Mezőgazdaság:</w:t>
      </w:r>
      <w:r w:rsidDel="00000000" w:rsidR="00000000" w:rsidRPr="00000000">
        <w:rPr>
          <w:rtl w:val="0"/>
        </w:rPr>
        <w:t xml:space="preserve"> Az állattenyésztés és más mezőgazdasági gyakorlatok által termelt metán, valamint a trágyázott talajból származó dinitrogén-oxid jelentős üvegházhatású gázok.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b w:val="1"/>
          <w:rtl w:val="0"/>
        </w:rPr>
        <w:t xml:space="preserve">Az éghajlatváltozás hatásai: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1"/>
          <w:numId w:val="9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A hőmérséklet emelkedése: A </w:t>
      </w:r>
      <w:r w:rsidDel="00000000" w:rsidR="00000000" w:rsidRPr="00000000">
        <w:rPr>
          <w:rtl w:val="0"/>
        </w:rPr>
        <w:t xml:space="preserve">globális hőmérséklet emelkedik, ami jelentős hatással van az időjárási mintákra, a sarki jég olvadására és a tengerszintre.</w:t>
      </w:r>
    </w:p>
    <w:p w:rsidR="00000000" w:rsidDel="00000000" w:rsidP="00000000" w:rsidRDefault="00000000" w:rsidRPr="00000000" w14:paraId="0000009C">
      <w:pPr>
        <w:numPr>
          <w:ilvl w:val="1"/>
          <w:numId w:val="9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Változó időjárási minták:</w:t>
      </w:r>
      <w:r w:rsidDel="00000000" w:rsidR="00000000" w:rsidRPr="00000000">
        <w:rPr>
          <w:rtl w:val="0"/>
        </w:rPr>
        <w:t xml:space="preserve"> A szélsőséges időjárási jelenségek, például hurrikánok, aszályok, árvizek és erdőtüzek gyakoribbá válása.</w:t>
      </w:r>
    </w:p>
    <w:p w:rsidR="00000000" w:rsidDel="00000000" w:rsidP="00000000" w:rsidRDefault="00000000" w:rsidRPr="00000000" w14:paraId="0000009D">
      <w:pPr>
        <w:numPr>
          <w:ilvl w:val="1"/>
          <w:numId w:val="9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Az óceánok savasodása:</w:t>
      </w:r>
      <w:r w:rsidDel="00000000" w:rsidR="00000000" w:rsidRPr="00000000">
        <w:rPr>
          <w:rtl w:val="0"/>
        </w:rPr>
        <w:t xml:space="preserve"> A megnövekedett CO2-szint az óceánok savasságának növekedéséhez vezet, ami hatással van a tengeri élővilágra és az ökoszisztémákra.</w:t>
      </w:r>
    </w:p>
    <w:p w:rsidR="00000000" w:rsidDel="00000000" w:rsidP="00000000" w:rsidRDefault="00000000" w:rsidRPr="00000000" w14:paraId="0000009E">
      <w:pPr>
        <w:numPr>
          <w:ilvl w:val="1"/>
          <w:numId w:val="9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Ökoszisztéma és faji hatás: A </w:t>
      </w:r>
      <w:r w:rsidDel="00000000" w:rsidR="00000000" w:rsidRPr="00000000">
        <w:rPr>
          <w:rtl w:val="0"/>
        </w:rPr>
        <w:t xml:space="preserve">változó éghajlat hatással van a természetes élőhelyekre, ami fajok vándorlásához, alkalmazkodási kihívásokhoz és egyes esetekben kihaláshoz vezet.</w:t>
      </w:r>
    </w:p>
    <w:p w:rsidR="00000000" w:rsidDel="00000000" w:rsidP="00000000" w:rsidRDefault="00000000" w:rsidRPr="00000000" w14:paraId="0000009F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Heading3"/>
        <w:ind w:firstLine="720"/>
        <w:rPr/>
      </w:pPr>
      <w:bookmarkStart w:colFirst="0" w:colLast="0" w:name="_heading=h.41mghml" w:id="9"/>
      <w:bookmarkEnd w:id="9"/>
      <w:r w:rsidDel="00000000" w:rsidR="00000000" w:rsidRPr="00000000">
        <w:rPr>
          <w:rtl w:val="0"/>
        </w:rPr>
        <w:t xml:space="preserve">Az éghajlatváltozás hatásai</w:t>
      </w:r>
    </w:p>
    <w:p w:rsidR="00000000" w:rsidDel="00000000" w:rsidP="00000000" w:rsidRDefault="00000000" w:rsidRPr="00000000" w14:paraId="000000A1">
      <w:pPr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Környezetvédelem:</w:t>
      </w:r>
      <w:r w:rsidDel="00000000" w:rsidR="00000000" w:rsidRPr="00000000">
        <w:rPr>
          <w:rtl w:val="0"/>
        </w:rPr>
        <w:t xml:space="preserve"> A jégsapkák olvadása, a tengerszint emelkedése, a hőhullámok és más súlyos időjárási események növekedése.</w:t>
      </w:r>
    </w:p>
    <w:p w:rsidR="00000000" w:rsidDel="00000000" w:rsidP="00000000" w:rsidRDefault="00000000" w:rsidRPr="00000000" w14:paraId="000000A2">
      <w:pPr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Gazdasági:</w:t>
      </w:r>
      <w:r w:rsidDel="00000000" w:rsidR="00000000" w:rsidRPr="00000000">
        <w:rPr>
          <w:rtl w:val="0"/>
        </w:rPr>
        <w:t xml:space="preserve"> Az ingatlanok és az infrastruktúra károsodása, az ellátási láncok megszakadása, valamint a hűtési vagy fűtési költségek növekedése.</w:t>
      </w:r>
    </w:p>
    <w:p w:rsidR="00000000" w:rsidDel="00000000" w:rsidP="00000000" w:rsidRDefault="00000000" w:rsidRPr="00000000" w14:paraId="000000A3">
      <w:pPr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Szociális és egészségügyi:</w:t>
      </w:r>
      <w:r w:rsidDel="00000000" w:rsidR="00000000" w:rsidRPr="00000000">
        <w:rPr>
          <w:rtl w:val="0"/>
        </w:rPr>
        <w:t xml:space="preserve"> A légzőszervi és hőséggel kapcsolatos megbetegedések, az élelmiszer- és vízhiány, valamint a közösségek kitelepítése.</w:t>
      </w:r>
    </w:p>
    <w:p w:rsidR="00000000" w:rsidDel="00000000" w:rsidP="00000000" w:rsidRDefault="00000000" w:rsidRPr="00000000" w14:paraId="000000A4">
      <w:pPr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Biodiverzitás: A </w:t>
      </w:r>
      <w:r w:rsidDel="00000000" w:rsidR="00000000" w:rsidRPr="00000000">
        <w:rPr>
          <w:rtl w:val="0"/>
        </w:rPr>
        <w:t xml:space="preserve">megváltozott élőhelyek fajvesztéshez és a biodiverzitás csökkenéséhez vezetnek.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1"/>
        <w:rPr/>
      </w:pPr>
      <w:bookmarkStart w:colFirst="0" w:colLast="0" w:name="_heading=h.2grqrue" w:id="10"/>
      <w:bookmarkEnd w:id="10"/>
      <w:r w:rsidDel="00000000" w:rsidR="00000000" w:rsidRPr="00000000">
        <w:rPr>
          <w:rtl w:val="0"/>
        </w:rPr>
        <w:t xml:space="preserve">2.A vállalkozások szerepe a környezetromlásban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A vállalkozások szerepe a környezetromlásban sokrétű és jelentős. A környezeti problémák és a bolygóra és a társadalmakra gyakorolt hosszú távú hatásuk egyre szélesebb körű felismerésével azonban számos vállalkozás tesz lépéseket a fenntarthatóság irányába. Ez magában foglalja többek között a tisztább termelési technikák alkalmazását, a hulladékcsökkentést, a fenntartható erőforrás-felhasználást és a megújuló energiába való befektetést. A fenntarthatóbb üzleti modellekre való áttérés nemcsak a környezetkárosodás mérséklésében segít, hanem a hatékonyságnövekedés, az innováció és a hírnév javulása révén gazdasági előnyökhöz is vezethet. A tudatosság és a technológia fejlődésével a vállalkozások szerepe egyre inkább kulcsfontosságúnak tekinthető a fenntarthatóbb jövő felé vezető úton A vállalkozások szerepe a környezetromlásban méretük és működésük jellege miatt jelentős. Az üzleti tevékenységek különböző aspektusai hozzájárulnak a környezet állapotának romlásához, ami gyakran hosszú távú hatásokhoz vezet. 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Style w:val="Heading2"/>
        <w:rPr/>
      </w:pPr>
      <w:bookmarkStart w:colFirst="0" w:colLast="0" w:name="_heading=h.vx1227" w:id="11"/>
      <w:bookmarkEnd w:id="11"/>
      <w:r w:rsidDel="00000000" w:rsidR="00000000" w:rsidRPr="00000000">
        <w:rPr>
          <w:rtl w:val="0"/>
        </w:rPr>
        <w:t xml:space="preserve">Ipari hulladék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Az ipari hulladékok közé tartozik minden ipari tevékenység során keletkező hulladék, amely magában foglalhat vegyi, veszélyes és nem veszélyes hulladékokat. Ilyenek például a fémhulladék, a kémiai oldószerek, a festékek, a csiszolópapír, a papírtermékek, az ipari melléktermékek, a fémek és a radioaktív hulladékok. Az ipari hulladékok nem megfelelő elhelyezése talaj- és vízszennyezéshez vezethet. A szennyező anyagok a talajvízbe szivároghatnak, vagy vízbe kerülhetnek, ami hatással van a vízi élővilágra, és a vizet emberi fogyasztásra és mezőgazdasági felhasználásra alkalmatlanná teszi. A talajszennyezés csökkenti a talaj termékenységét, és mérgező élelmiszerláncokhoz vezethet. A vállalkozások olyan hulladékgazdálkodási stratégiákat alkalmazhatnak, mint a hulladéktermelés csökkentése, az anyagok újrahasznosítása, a hulladék ártalmatlanítása az elszállítás előtt, valamint a biztonságos és a jogszabályoknak megfelelő hulladéktárolási és kezelési módszerek biztosítása.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2"/>
        <w:rPr/>
      </w:pPr>
      <w:bookmarkStart w:colFirst="0" w:colLast="0" w:name="_heading=h.3fwokq0" w:id="12"/>
      <w:bookmarkEnd w:id="12"/>
      <w:r w:rsidDel="00000000" w:rsidR="00000000" w:rsidRPr="00000000">
        <w:rPr>
          <w:rtl w:val="0"/>
        </w:rPr>
        <w:t xml:space="preserve">Kibocsátás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A kibocsátás a levegőbe bocsátott szennyező anyagokat jelenti, beleértve a széndioxidot, a metánt, a dinitrogénoxidot és a fluorozott gázokat. Ezek a kibocsátások a vállalkozásokon belül különböző forrásokból származnak, többek között a fosszilis tüzelőanyagok elégetéséből a gyártás, a szállítás vagy az energiatermelés során. A kibocsátások hozzájárulnak a légszennyezéshez és az éghajlatváltozáshoz. Az üvegházhatású gázok megkötik a hőt a légkörben, ami globális felmelegedéshez és éghajlatváltozáshoz vezet, míg más szennyező anyagok légzőszervi megbetegedéseket, szmogot és savas esőt okozhatnak. A vállalatok az energiahatékonyság javításával, a megújuló energiaforrásokra való áttéréssel, a logisztika optimalizálásával a szállítási kibocsátások csökkentése érdekében, valamint a kibocsátás-csökkentő technológiákba való beruházással csökkenthetik a kibocsátásokat.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2"/>
        <w:rPr/>
      </w:pPr>
      <w:bookmarkStart w:colFirst="0" w:colLast="0" w:name="_heading=h.1v1yuxt" w:id="13"/>
      <w:bookmarkEnd w:id="13"/>
      <w:r w:rsidDel="00000000" w:rsidR="00000000" w:rsidRPr="00000000">
        <w:rPr>
          <w:rtl w:val="0"/>
        </w:rPr>
        <w:t xml:space="preserve">Az erőforrások túlfogyasztása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A túlfogyasztás az erőforrások olyan mértékű felhasználását jelenti, amely meghaladja az ökoszisztémák fenntartható kapacitását. A vállalkozások, különösen a feldolgozóipar, az építőipar és a mezőgazdaság hatalmas mennyiségű vizet, energiát és nyersanyagot fogyasztanak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Ez az erőforrások, például a víz, az ásványi anyagok és a fosszilis tüzelőanyagok kimerüléséhez vezet, és az élőhelyek pusztulásához, a biológiai sokféleség csökkenéséhez, valamint a hulladék és a szennyezés növekedéséhez vezethet.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A vállalkozások fenntartható beszerzési politikát alkalmazhatnak, erőforrás-hatékony technológiákba fektethetnek be, és hosszabb életciklusú termékeket tervezhetnek. Olyan fenntartható gyakorlatokat is folytathatnak, mint a víz újrahasznosítása, a fenntartható beszerzés és az energiafogyasztás csökkentése.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2"/>
        <w:rPr/>
      </w:pPr>
      <w:bookmarkStart w:colFirst="0" w:colLast="0" w:name="_heading=h.4f1mdlm" w:id="14"/>
      <w:bookmarkEnd w:id="14"/>
      <w:r w:rsidDel="00000000" w:rsidR="00000000" w:rsidRPr="00000000">
        <w:rPr>
          <w:rtl w:val="0"/>
        </w:rPr>
        <w:t xml:space="preserve">Földhasználat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Az üzleti tevékenységek gyakran igényelnek földterületet, ami erdőirtáshoz, területrendezéshez és urbanizációhoz vezet. Ez különösen jellemző a mezőgazdaságban, a bányászatban és az ingatlanfejlesztésben. A földterület üzleti célú megváltoztatása elpusztíthatja a természetes élőhelyeket, ami a biológiai sokféleség csökkenéséhez, az ökoszisztémák felbomlásához, a talajerózióhoz és a szén-dioxid-kibocsátás növekedéséhez vezet. Ez olyan társadalmi problémákhoz is vezethet, mint a közösségek kitelepítése és a megélhetés elvesztése. A vállalkozások a fenntartható földgazdálkodási gyakorlatok bevezetésével, a használt földterületek rehabilitációjával, a lábnyomuk csökkentésével és a természetvédelmi erőfeszítések támogatásával minimalizálhatják a földhasználatra gyakorolt hatásukat. Emellett felelősségteljes beszerzési tevékenységet is folytathatnak annak biztosítása érdekében, hogy ellátási láncaik ne járuljanak hozzá az erdőirtáshoz vagy az élőhelyek pusztulásához.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1"/>
        <w:rPr/>
      </w:pPr>
      <w:bookmarkStart w:colFirst="0" w:colLast="0" w:name="_heading=h.2u6wntf" w:id="15"/>
      <w:bookmarkEnd w:id="15"/>
      <w:r w:rsidDel="00000000" w:rsidR="00000000" w:rsidRPr="00000000">
        <w:rPr>
          <w:rtl w:val="0"/>
        </w:rPr>
        <w:t xml:space="preserve">3.A környezetromlás hatása a vállalkozásokra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br w:type="textWrapping"/>
        <w:t xml:space="preserve"> A környezetromlás nemcsak az ökoszisztémákra és a közösségekre van hatással, hanem a vállalkozásokra is jelentős hatással van. A környezetromlás jelentős kockázatokat jelent a vállalkozások számára, mivel hatással van a jogi helyzetre, a hírnévre, a működési költségekre és a fizikai eszközökre. E kockázatok megértésével és a kockázatok csökkentésére irányuló proaktív lépések megtételével azonban a vállalkozások nemcsak védekezhetnek, hanem kihasználhatják az innováció, a hatékonyság növelése és az érdekeltekkel való jobb kapcsolatok lehetőségeit is. A fenntartható üzleti gyakorlatok egyre inkább prioritássá válnak a vállalatok számára világszerte, mivel hosszú távú életképességüket igyekeznek biztosítani egy olyan világban, ahol a környezetvédelmi aggályok egyre inkább előtérbe kerülnek.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A hatások lehetnek közvetlenek vagy közvetettek, és a működés, a nyereségesség és a hírnév különböző aspektusait érintik. 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Szabályozási bírságok és jogi lépések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A vállalkozásokra helyi, nemzeti és nemzetközi szinten környezetvédelmi törvények és előírások vonatkoznak. Ezek az előírások vonatkozhatnak a hulladékártalmatlanításra, a kibocsátásra, az erőforrás-felhasználásra és a környezetszennyezés ellenőrzésére.A szabályok be nem tartása jelentős bírságokat, jogi szankciókat vagy a működés leállítását eredményezheti. A környezeti károkkal kapcsolatos jogi csatározások költségesek és időigényesek lehetnek. Ezen túlmenően a létesítmények vagy folyamatok szabványoknak való megfelelés érdekében történő utólagos átalakításának költségei is jelentősek lehetnek. A vállalkozások befektethetnek megfelelőség-kezelési rendszerekbe, rendszeres ellenőrzéseket végezhetnek, és proaktív intézkedéseket tehetnek a szabályozási előírások teljesítése érdekében, ezáltal minimalizálva a jogi eljárások és a bírságok kockázatát.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Reputációs kár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A környezeti kérdésekkel kapcsolatos növekvő közvéleménytudatosság és aggodalom miatt a vállalkozások környezeti hatásait is vizsgálják. A fogyasztók, a befektetők és más érdekelt felek egyre nagyobb figyelmet fordítanak a vállalatok környezetvédelmi gyakorlatára. A környezeti szempontból felelőtlennek ítélt vállalatok a fogyasztók bojkottálásával, a befektetők elidegenítésével és a bizalom általános elvesztésével szembesülhetnek. Ez az értékesítés csökkenéséhez, a piaci részesedés elvesztéséhez és a minőségi alkalmazottak vagy partnerek megnyerésében jelentkező kihívásokhoz vezethet. A vállalkozások elfogadhatnak és valóban megvalósíthatnak fenntartható gyakorlatokat, átlátható jelentéstételre kötelezhetik magukat, és aktívan kommunikálhatják környezetvédelmi erőfeszítéseiket és eredményeiket az érdekeltek felé.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Működési költségek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Számos üzleti tevékenység függ az olyan természeti erőforrásoktól, mint a víz, az ásványi anyagok, a fa és a fosszilis tüzelőanyagok. Ahogy ezek az erőforrások degradálódnak vagy szűkössé válnak, a megszerzésükhöz kapcsolódó költségek jelentősen emelkedhetnek. A nyersanyagok szűkössége miatt megnövekedett költségei, a magasabb energiaköltségek, valamint az alternatív forrásokba vagy technológiákba való beruházás szükségessége hatással lehet a vállalkozások jövedelmezőségére és versenyképességére. Egyes esetekben ez teljes működési átalakításokoz vezethet.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A vállalatok beruházhatnak az erőforrás-hatékonyságba, csökkenthetik a hulladék mennyiségét, újrahasznosíthatják a termékeket, és a terméktervezés során kevesebb vagy alternatív anyagot használhatnak. A fenntartható ellátási láncok és a megújuló energiaforrások felkutatása szintén csökkentheti ezeket a költségeket.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Fizikai kockázatok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Az éghajlatváltozás és a környezetromlás a szélsőséges időjárási események, például viharok, árvizek, aszályok és a tengerszint emelkedése gyakoribbá és súlyosabbá válásához vezethet. A szennyezés az infrastruktúrát is leromolhatja. Az üzleti infrastruktúrát érintő fizikai kockázatok közé tartozhat a létesítmények károsodása, az ellátási láncok megszakadása és az eszközök elvesztése. Ezek az események közvetlen javítási költségekhez, működési zavarokhoz és a késésekből vagy minőségi problémákból eredő közvetett költségekhez vezethetnek. A vállalkozások kockázatértékelést végezhetnek, hogy megértsék a fizikai kockázatokkal szembeni sebezhetőségüket, és az ellenálló képesség fokozása érdekében beruházhatnak az infrastruktúrába és a tervezésbe. Ez magában foglalhatja a kritikus infrastruktúra áthelyezését, az épületek megerősítését és az ellátási láncok diverzifikálását.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Style w:val="Heading1"/>
        <w:rPr/>
      </w:pPr>
      <w:bookmarkStart w:colFirst="0" w:colLast="0" w:name="_heading=h.19c6y18" w:id="16"/>
      <w:bookmarkEnd w:id="16"/>
      <w:r w:rsidDel="00000000" w:rsidR="00000000" w:rsidRPr="00000000">
        <w:rPr>
          <w:rtl w:val="0"/>
        </w:rPr>
        <w:t xml:space="preserve">4.A vállalkozások stratégiái a környezetkárosodás kezelésére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A vállalkozásoknak kritikus szerepük van a környezetromlás kezelésében. Különböző stratégiák elfogadásával mérsékelhetik környezeti hatásukat, javíthatják működési hatékonyságukat és erősíthetik piaci pozíciójukat. Az alábbiakban részletesen áttekintjük az említett stratégiákat:</w:t>
      </w:r>
    </w:p>
    <w:p w:rsidR="00000000" w:rsidDel="00000000" w:rsidP="00000000" w:rsidRDefault="00000000" w:rsidRPr="00000000" w14:paraId="000000D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Fenntartható gyakorlatok elfogadása</w:t>
      </w:r>
    </w:p>
    <w:p w:rsidR="00000000" w:rsidDel="00000000" w:rsidP="00000000" w:rsidRDefault="00000000" w:rsidRPr="00000000" w14:paraId="000000D8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Energiahatékony folyamatok bevezetése:</w:t>
      </w:r>
      <w:r w:rsidDel="00000000" w:rsidR="00000000" w:rsidRPr="00000000">
        <w:rPr>
          <w:rtl w:val="0"/>
        </w:rPr>
        <w:t xml:space="preserve"> Ez magában foglalja a hatékonyabb gépekre való átállást, a folyamatok optimalizálását a kevesebb energiafelhasználás érdekében, valamint a megújuló energiaforrásokra, például nap- vagy szélenergiára való átállást.</w:t>
      </w:r>
    </w:p>
    <w:p w:rsidR="00000000" w:rsidDel="00000000" w:rsidP="00000000" w:rsidRDefault="00000000" w:rsidRPr="00000000" w14:paraId="000000D9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Hulladékcsökkentés:</w:t>
      </w:r>
      <w:r w:rsidDel="00000000" w:rsidR="00000000" w:rsidRPr="00000000">
        <w:rPr>
          <w:rtl w:val="0"/>
        </w:rPr>
        <w:t xml:space="preserve"> A stratégiák közé tartozhat a folyamatok hatékonyságának javítása a kevesebb hulladék keletkezése érdekében, az anyagok újrahasznosítása, valamint a körkörös gazdasági modell elfogadása, amelyben a termékek életciklusának végét már előre figyelembe veszik.</w:t>
      </w:r>
    </w:p>
    <w:p w:rsidR="00000000" w:rsidDel="00000000" w:rsidP="00000000" w:rsidRDefault="00000000" w:rsidRPr="00000000" w14:paraId="000000DA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Fenntartható anyagok használata:</w:t>
      </w:r>
      <w:r w:rsidDel="00000000" w:rsidR="00000000" w:rsidRPr="00000000">
        <w:rPr>
          <w:rtl w:val="0"/>
        </w:rPr>
        <w:t xml:space="preserve"> Ez olyan anyagok kiválasztását jelenti, amelyek fenntartható forrásból származnak, kisebb környezeti hatással bírnak, illetve újrahasznosíthatók vagy biológiailag lebomlanak.</w:t>
      </w:r>
    </w:p>
    <w:p w:rsidR="00000000" w:rsidDel="00000000" w:rsidP="00000000" w:rsidRDefault="00000000" w:rsidRPr="00000000" w14:paraId="000000D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Környezetvédelmi irányítási rendszerek (EMS)</w:t>
      </w:r>
    </w:p>
    <w:p w:rsidR="00000000" w:rsidDel="00000000" w:rsidP="00000000" w:rsidRDefault="00000000" w:rsidRPr="00000000" w14:paraId="000000D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Leírás:</w:t>
      </w:r>
      <w:r w:rsidDel="00000000" w:rsidR="00000000" w:rsidRPr="00000000">
        <w:rPr>
          <w:rtl w:val="0"/>
        </w:rPr>
        <w:t xml:space="preserve"> Az EMS olyan folyamatok és gyakorlatok összessége, amelyek lehetővé teszik egy szervezet számára, hogy csökkentse környezeti hatásait és növelje működési hatékonyságát. Ez a keretrendszer egy folyamatos fejlesztési cikluson alapul, amely a szervezet által az üzleti és környezeti céljainak elérése érdekében vállalt folyamatok és intézkedések tervezését, végrehajtását, felülvizsgálatát és javítását foglalja magában.</w:t>
      </w:r>
    </w:p>
    <w:p w:rsidR="00000000" w:rsidDel="00000000" w:rsidP="00000000" w:rsidRDefault="00000000" w:rsidRPr="00000000" w14:paraId="000000D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Előnyök:</w:t>
      </w:r>
      <w:r w:rsidDel="00000000" w:rsidR="00000000" w:rsidRPr="00000000">
        <w:rPr>
          <w:rtl w:val="0"/>
        </w:rPr>
        <w:t xml:space="preserve"> Az EMS segít a jogi megfelelés szisztematikus kezelésében és a költségmegtakarítási lehetőségek azonosításában. A környezeti felelősségvállalás iránti elkötelezettség bizonyításával a vállalat hírnevét és az érdekeltekkel való kapcsolatait is javítja.</w:t>
      </w:r>
    </w:p>
    <w:p w:rsidR="00000000" w:rsidDel="00000000" w:rsidP="00000000" w:rsidRDefault="00000000" w:rsidRPr="00000000" w14:paraId="000000D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Ellátási lánc menedzsment</w:t>
      </w:r>
    </w:p>
    <w:p w:rsidR="00000000" w:rsidDel="00000000" w:rsidP="00000000" w:rsidRDefault="00000000" w:rsidRPr="00000000" w14:paraId="000000D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Együttműködés a beszállítókkal:</w:t>
      </w:r>
      <w:r w:rsidDel="00000000" w:rsidR="00000000" w:rsidRPr="00000000">
        <w:rPr>
          <w:rtl w:val="0"/>
        </w:rPr>
        <w:t xml:space="preserve"> Ez magában foglalja a beszállítókkal való együttműködést annak biztosítása érdekében, hogy gyakorlatuk összhangban legyen a fenntarthatósági célokkal. A vállalatok megkövetelhetik a beszállítóktól bizonyos környezetvédelmi szabványok betartását, vagy előnyben részesíthetik azokat a beszállítókat, akik erős környezetvédelmi teljesítményt mutatnak.</w:t>
      </w:r>
    </w:p>
    <w:p w:rsidR="00000000" w:rsidDel="00000000" w:rsidP="00000000" w:rsidRDefault="00000000" w:rsidRPr="00000000" w14:paraId="000000E0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Fenntartható beszerzés:</w:t>
      </w:r>
      <w:r w:rsidDel="00000000" w:rsidR="00000000" w:rsidRPr="00000000">
        <w:rPr>
          <w:rtl w:val="0"/>
        </w:rPr>
        <w:t xml:space="preserve"> Annak biztosítása, hogy a nyersanyagokat úgy szerezzék be, hogy a lehető legkisebb legyen a környezeti hatás, beleértve az olyan tanúsítványok keresését, amelyek garantálják ezen anyagok fenntartható előállítását.</w:t>
      </w:r>
    </w:p>
    <w:p w:rsidR="00000000" w:rsidDel="00000000" w:rsidP="00000000" w:rsidRDefault="00000000" w:rsidRPr="00000000" w14:paraId="000000E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Innováció</w:t>
      </w:r>
    </w:p>
    <w:p w:rsidR="00000000" w:rsidDel="00000000" w:rsidP="00000000" w:rsidRDefault="00000000" w:rsidRPr="00000000" w14:paraId="000000E2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Befektetés a K+F-be: </w:t>
      </w:r>
      <w:r w:rsidDel="00000000" w:rsidR="00000000" w:rsidRPr="00000000">
        <w:rPr>
          <w:rtl w:val="0"/>
        </w:rPr>
        <w:t xml:space="preserve">Források átirányítása új, környezetbarátabb termékek és szolgáltatások kifejlesztésére. Ez magában foglalhat alternatív anyagokat, tisztább gyártási technológiákat vagy újrafelhasználásra vagy újrahasznosításra tervezett termékeket.</w:t>
      </w:r>
    </w:p>
    <w:p w:rsidR="00000000" w:rsidDel="00000000" w:rsidP="00000000" w:rsidRDefault="00000000" w:rsidRPr="00000000" w14:paraId="000000E3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Az innovációs kultúra ösztönzése:</w:t>
      </w:r>
      <w:r w:rsidDel="00000000" w:rsidR="00000000" w:rsidRPr="00000000">
        <w:rPr>
          <w:rtl w:val="0"/>
        </w:rPr>
        <w:t xml:space="preserve"> Olyan szervezeti kultúra kialakítása, amely ösztönzi a kreativitást és a problémamegoldást a környezeti kihívások kezelésében. Ez magában foglalhat munkavállalói elkötelezettségi programokat, innovációs kihívásokat vagy külső kutatókkal vagy startupokkal való partnerségeket.</w:t>
      </w:r>
    </w:p>
    <w:p w:rsidR="00000000" w:rsidDel="00000000" w:rsidP="00000000" w:rsidRDefault="00000000" w:rsidRPr="00000000" w14:paraId="000000E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 Átláthatóság és jelentéstétel</w:t>
      </w:r>
    </w:p>
    <w:p w:rsidR="00000000" w:rsidDel="00000000" w:rsidP="00000000" w:rsidRDefault="00000000" w:rsidRPr="00000000" w14:paraId="000000E5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Rendszeres közzététel:</w:t>
      </w:r>
      <w:r w:rsidDel="00000000" w:rsidR="00000000" w:rsidRPr="00000000">
        <w:rPr>
          <w:rtl w:val="0"/>
        </w:rPr>
        <w:t xml:space="preserve"> A környezeti hatásra vonatkozó adatok nyilvános közzététele, beleértve a kibocsátást, az erőforrás-felhasználást, a hulladéktermelést és más releváns mérőszámokat. Ezt az átláthatóságot a fogyasztók, a befektetők és más érdekelt felek egyre inkább értékelik.</w:t>
      </w:r>
    </w:p>
    <w:p w:rsidR="00000000" w:rsidDel="00000000" w:rsidP="00000000" w:rsidRDefault="00000000" w:rsidRPr="00000000" w14:paraId="000000E6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A hatás mérséklésére tett erőfeszítések:</w:t>
      </w:r>
      <w:r w:rsidDel="00000000" w:rsidR="00000000" w:rsidRPr="00000000">
        <w:rPr>
          <w:rtl w:val="0"/>
        </w:rPr>
        <w:t xml:space="preserve"> A környezeti hatásra vonatkozó adatok mellett beszámolás a vállalat által a lábnyomának csökkentése érdekében tett lépésekről, a kitűzött célokról és az e célok felé tett előrehaladásról. Az olyan jelentéstételi keretrendszerek, mint a Global Reporting Initiative (GRI) vagy a Carbon Disclosure Project (CDP) struktúrát és hitelességet biztosíthatnak ezeknek a jelentéseknek.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E stratégiák elfogadásával a vállalkozások jelentősen csökkenthetik környezeti hatásukat, miközben gyakran javíthatják működési hatékonyságukat és növelhetik hírnevüket. Ezek az intézkedések hozzájárulnak a fenntarthatóbb gazdasághoz, és segíthetnek a környezetromlás széles körű társadalmi hatásainak mérséklésében. Bár a fenntarthatóbb üzleti gyakorlatra való áttérés kihívást jelenthet, ugyanakkor lehetőséget kínál az innovációra, új piacokra és a hosszú távú életképességre. Mivel a fogyasztók, a befektetők és a szabályozó hatóságok számára egyre inkább a környezetvédelmi szempontok kerülnek a középpontba, a fenntarthatóság üzleti érvei tovább erősödnek.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Heading1"/>
        <w:rPr/>
      </w:pPr>
      <w:bookmarkStart w:colFirst="0" w:colLast="0" w:name="_heading=h.3tbugp1" w:id="17"/>
      <w:bookmarkEnd w:id="17"/>
      <w:r w:rsidDel="00000000" w:rsidR="00000000" w:rsidRPr="00000000">
        <w:rPr>
          <w:rtl w:val="0"/>
        </w:rPr>
        <w:t xml:space="preserve">5: További források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br w:type="textWrapping"/>
        <w:t xml:space="preserve"> Azok számára, akiket érdekel a környezetromlás, a fenntarthatósági gyakorlatok és az e problémák kezelésére irányuló üzleti stratégiák további feltárása, számos forrás áll rendelkezésre az interneten. Az alábbiakban olyan weboldalakat sorolunk fel, amelyek értékes információkat, eszközöket és útmutatást kínálnak: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b w:val="1"/>
          <w:rtl w:val="0"/>
        </w:rPr>
        <w:t xml:space="preserve">Az Európai Zöld Megállapodás - az Európai Bizottság </w:t>
      </w:r>
      <w:r w:rsidDel="00000000" w:rsidR="00000000" w:rsidRPr="00000000">
        <w:rPr>
          <w:rtl w:val="0"/>
        </w:rPr>
        <w:t xml:space="preserve">által indított ambiciózus terv, amelynek célja az Európai Unió gazdaságának fenntarthatóvá tétele. A kezdeményezés célja, hogy az EU igazságos és virágzó társadalommá váljon, modern, erőforrás-hatékony és versenyképes gazdasággal, ahol 2050-re nem lesz nettó üvegházhatású gázkibocsátás, és a gazdasági növekedés nem függ össze az erőforrás-felhasználással. Célja továbbá az EU természeti tőkéjének védelme, megőrzése és gyarapítása, valamint a polgárok egészségének és jólétének védelme a környezethez kapcsolódó kockázatokkal és hatásokkal szemben. Az európai zöld megállapodás középpontjában az a kötelezettségvállalás áll, hogy 2030-ig az 1990-es szinthez képest legalább 55%-kal csökkentik az üvegházhatású gázok kibocsátását, és ezzel megteremtik a feltételeket ahhoz, hogy 2050-re az éghajlat szempontjából semleges kontinens jöjjön létre. Ezen ambiciózus célok elérése érdekében a zöld megállapodás a gazdaság valamennyi ágazatára kiterjedő intézkedéseket tartalmazó ütemtervet vázol fel, beleértve a környezetbarát technológiákba való beruházást, az ipar innovációs támogatását, a tisztább, olcsóbb és egészségesebb magán- és tömegközlekedés bevezetését, az energiaágazat szén-dioxid-mentesítését, az épületek energiahatékonyságának növelését, valamint a nemzetközi partnerekkel való együttműködést a globális környezetvédelmi normák javítása érdekében. </w:t>
      </w:r>
      <w:hyperlink r:id="rId16">
        <w:r w:rsidDel="00000000" w:rsidR="00000000" w:rsidRPr="00000000">
          <w:rPr>
            <w:color w:val="0563c1"/>
            <w:u w:val="single"/>
            <w:rtl w:val="0"/>
          </w:rPr>
          <w:t xml:space="preserve">Az európai zöld alku - Európai Bizottság (europa.eu)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b w:val="1"/>
          <w:rtl w:val="0"/>
        </w:rPr>
        <w:t xml:space="preserve">A GreenComp keretrendszer </w:t>
      </w:r>
      <w:r w:rsidDel="00000000" w:rsidR="00000000" w:rsidRPr="00000000">
        <w:rPr>
          <w:rtl w:val="0"/>
        </w:rPr>
        <w:t xml:space="preserve">egy európai uniós kezdeményezés, amelyet átfogó kompetenciakeretként terveztek az ökológiai átmenethez nélkülözhetetlen zöld készségek és attitűdök fejlesztésének támogatására. Célja, hogy elősegítse a környezeti műveltséget és a fenntartható gyakorlatokat az egyének, szervezetek és társadalmak körében az olyan globális környezeti kihívások kezelése érdekében, mint az éghajlatváltozás, a biológiai sokféleség csökkenése és az erőforrások kimerülése. A keretrendszer négy, egymással összefüggő területen vázol fel egy sor kompetenciát: a fenntartható és etikai elvek elfogadása, a társadalmi-ökológiai rendszer megértése, tájékozott és felelős cselekvés, valamint másokkal való együttműködés a közös fenntartható célok támogatása érdekében. Azáltal, hogy részletes útmutatót nyújt az oktatók, a politikai döntéshozók és a szervezetek számára, a GreenComp megkönnyíti a zöld kompetenciák integrálását az oktatásba, a képzésbe és a munkaerő-fejlesztésbe, biztosítva, hogy az egyének rendelkezzenek a fenntartható jövőhöz való hozzájáruláshoz szükséges ismeretekkel, készségekkel és értékekkel. Stratégiai eszköz az EU környezeti fenntarthatóság és klímasemlegesség elérése iránti elkötelezettségének előmozdítására. További részletek a Közös Kutatóközpont honlapján találhatók: </w:t>
      </w:r>
      <w:hyperlink r:id="rId17">
        <w:r w:rsidDel="00000000" w:rsidR="00000000" w:rsidRPr="00000000">
          <w:rPr>
            <w:color w:val="0563c1"/>
            <w:u w:val="single"/>
            <w:rtl w:val="0"/>
          </w:rPr>
          <w:t xml:space="preserve">GreenComp: az európai fenntarthatósági kompetenciakeret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b w:val="1"/>
          <w:rtl w:val="0"/>
        </w:rPr>
        <w:t xml:space="preserve">Az Új Európai Bauhaus </w:t>
      </w:r>
      <w:r w:rsidDel="00000000" w:rsidR="00000000" w:rsidRPr="00000000">
        <w:rPr>
          <w:rtl w:val="0"/>
        </w:rPr>
        <w:t xml:space="preserve">kezdeményezés egy innovatív, interdiszciplináris projekt, amelyet az Európai Bizottság indított útjára, és amelynek célja, hogy áthidalja a tudomány, a technológia, a művészet és a kultúra közötti szakadékot a fenntartható jövő megoldása érdekében. Kreatív és együttműködő platformként szolgál, amely a művészet, a kultúra, a társadalmi befogadás, a tudomány és a technológia kereszteződésében új életformák kialakítására törekszik. A kezdeményezés a Bauhaus mozgalomból merít ihletet, a funkcionalitást, az egyszerűséget és a fenntarthatóságot hangsúlyozza a tervezésben, miközben elősegíti a befogadást és javítja az életminőséget. Az Új Európai Bauhaus három kulcsfontosságú témára összpontosít: a fenntarthatóságra, az éghajlati céloktól a körforgásos gazdaságig; az esztétikára, a funkcionalitáson túl az élmény és a stílus minőségének biztosítására; valamint a befogadásra, a hozzáférhetőség, a megfizethetőség és a közösségi érzés előmozdítására. Olyan kísérleteket és projekteket ösztönöz, amelyek bemutatják, hogyan lehet a fenntartható gyakorlatokat harmonikusan ötvözni a jó formatervezéssel és a befogadással, befolyásolva az európai Green Deal szakpolitikáit és beruházásait. Az együttműködésre helyezett hangsúly révén a kezdeményezés a partnerek és érdekeltek sokszínű hálózatát hozza össze, hogy közösen hozzák létre a jövő környezetbarát, befogadó és szép élettereit</w:t>
      </w:r>
      <w:hyperlink r:id="rId18">
        <w:r w:rsidDel="00000000" w:rsidR="00000000" w:rsidRPr="00000000">
          <w:rPr>
            <w:color w:val="0563c1"/>
            <w:u w:val="single"/>
            <w:rtl w:val="0"/>
          </w:rPr>
          <w:t xml:space="preserve">. https://new-european-bauhaus.europa.eu/index_en.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b w:val="1"/>
          <w:rtl w:val="0"/>
        </w:rPr>
        <w:t xml:space="preserve">Az intelligens szakosodást célzó nemzeti RIS (kutatási és innovációs stratégiák) </w:t>
      </w:r>
      <w:r w:rsidDel="00000000" w:rsidR="00000000" w:rsidRPr="00000000">
        <w:rPr>
          <w:rtl w:val="0"/>
        </w:rPr>
        <w:t xml:space="preserve">a kutatás és innováció (K+I) célzott támogatása révén megvalósuló gazdaságfejlesztés stratégiai megközelítései. Ezeket a stratégiákat az EU tagállamai és régiói dolgozzák ki, hogy az egyes régiók erősségei, versenyelőnyei és kiválósági potenciálja alapján meghatározzák és kiválasszák a K+I-beruházások számára kiemelt területeket. A cél a regionális innováció fellendítése a gazdasági növekedés és a jólét elérése érdekében, ezáltal biztosítva a K+I-be történő állami beruházások hatékony felhasználását, és elkerülve az erőfeszítések megkettőződését és széttagoltságát. A régiók egyedi erősségeikre összpontosítva versenyképesebbé válhatnak a globális piacon. A RIS-stratégiák ösztönzik az érdekelt felek - köztük a vállalkozások, a kutatóintézetek és a kormányzati szervek - bevonását az együttműködő innovációs ökoszisztémák előmozdítása érdekében. Az intelligens szakosodási megközelítés révén a régiók innovatív megoldásokat dolgozhatnak ki a társadalmi kihívásokra, új üzleti lehetőségeket teremthetnek, és hozzájárulhatnak a fenntartható fejlődéshez. Ez a megközelítés szerves részét képezi az Európai Unió kohéziós politikájának, amely a régiók közötti egyenlőtlenségek csökkentésével elősegíti a gazdasági, társadalmi és területi kohéziót</w:t>
      </w:r>
      <w:hyperlink r:id="rId19">
        <w:r w:rsidDel="00000000" w:rsidR="00000000" w:rsidRPr="00000000">
          <w:rPr>
            <w:color w:val="0563c1"/>
            <w:u w:val="single"/>
            <w:rtl w:val="0"/>
          </w:rPr>
          <w:t xml:space="preserve">. https://op.europa.eu/en/publication-detail/-/publication/e634b432-a969-4814-9f2b-bbe3042ca86f/language-en.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b w:val="1"/>
          <w:rtl w:val="0"/>
        </w:rPr>
        <w:t xml:space="preserve">Az Egyesült Nemzetek Környezetvédelmi Programja (UNEP) - </w:t>
      </w:r>
      <w:hyperlink r:id="rId20">
        <w:r w:rsidDel="00000000" w:rsidR="00000000" w:rsidRPr="00000000">
          <w:rPr>
            <w:color w:val="0563c1"/>
            <w:u w:val="single"/>
            <w:rtl w:val="0"/>
          </w:rPr>
          <w:t xml:space="preserve">unep.org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Átfogó tájékoztatást nyújt különböző környezetvédelmi kérdésekről és a fenntartható fejlődési célokról.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b w:val="1"/>
          <w:rtl w:val="0"/>
        </w:rPr>
        <w:t xml:space="preserve">Környezetvédelmi Ügynökség (EPA) - </w:t>
      </w:r>
      <w:hyperlink r:id="rId21">
        <w:r w:rsidDel="00000000" w:rsidR="00000000" w:rsidRPr="00000000">
          <w:rPr>
            <w:color w:val="0563c1"/>
            <w:u w:val="single"/>
            <w:rtl w:val="0"/>
          </w:rPr>
          <w:t xml:space="preserve">epa.gov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  <w:t xml:space="preserve">Források és információk a környezetvédelmi jogszabályokról, iránymutatásokról és legjobb gyakorlatokról az Egyesült Államokban.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b w:val="1"/>
          <w:rtl w:val="0"/>
        </w:rPr>
        <w:t xml:space="preserve">Globális Jelentéskészítési Kezdeményezés (GRI) - </w:t>
      </w:r>
      <w:hyperlink r:id="rId22">
        <w:r w:rsidDel="00000000" w:rsidR="00000000" w:rsidRPr="00000000">
          <w:rPr>
            <w:color w:val="0563c1"/>
            <w:u w:val="single"/>
            <w:rtl w:val="0"/>
          </w:rPr>
          <w:t xml:space="preserve">globalreporting.org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Szabványokat és támogatást nyújt a fenntarthatósági jelentéstételhez.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b w:val="1"/>
          <w:rtl w:val="0"/>
        </w:rPr>
        <w:t xml:space="preserve">Az Üzleti Világtanács a Fenntartható Fejlődésért (WBCSD) - </w:t>
      </w:r>
      <w:hyperlink r:id="rId23">
        <w:r w:rsidDel="00000000" w:rsidR="00000000" w:rsidRPr="00000000">
          <w:rPr>
            <w:color w:val="0563c1"/>
            <w:u w:val="single"/>
            <w:rtl w:val="0"/>
          </w:rPr>
          <w:t xml:space="preserve">wbcsd.org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  <w:t xml:space="preserve">Több mint 200 vezető vállalkozás vezérigazgatói vezette szervezet, amely közösen dolgozik a fenntartható világra való átállás felgyorsításán.</w:t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b w:val="1"/>
          <w:rtl w:val="0"/>
        </w:rPr>
        <w:t xml:space="preserve">A Carbon Disclosure Project (CDP) - </w:t>
      </w:r>
      <w:hyperlink r:id="rId24">
        <w:r w:rsidDel="00000000" w:rsidR="00000000" w:rsidRPr="00000000">
          <w:rPr>
            <w:color w:val="0563c1"/>
            <w:u w:val="single"/>
            <w:rtl w:val="0"/>
          </w:rPr>
          <w:t xml:space="preserve">cdp.net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Globális közzétételi rendszer a befektetők, vállalatok, városok, államok és régiók számára környezeti hatásaik kezeléséhez.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b w:val="1"/>
          <w:rtl w:val="0"/>
        </w:rPr>
        <w:t xml:space="preserve">Az Ellen MacArthur Alapítvány - </w:t>
      </w:r>
      <w:hyperlink r:id="rId25">
        <w:r w:rsidDel="00000000" w:rsidR="00000000" w:rsidRPr="00000000">
          <w:rPr>
            <w:color w:val="0563c1"/>
            <w:u w:val="single"/>
            <w:rtl w:val="0"/>
          </w:rPr>
          <w:t xml:space="preserve">ellenmacarthurfoundation.org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  <w:t xml:space="preserve">A körforgásos gazdaság előmozdítására összpontosít, mint az erőforrások kimerülésének és a hulladéknak a megoldására.</w:t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b w:val="1"/>
          <w:rtl w:val="0"/>
        </w:rPr>
        <w:t xml:space="preserve">The Natural Step - </w:t>
      </w:r>
      <w:hyperlink r:id="rId26">
        <w:r w:rsidDel="00000000" w:rsidR="00000000" w:rsidRPr="00000000">
          <w:rPr>
            <w:color w:val="0563c1"/>
            <w:u w:val="single"/>
            <w:rtl w:val="0"/>
          </w:rPr>
          <w:t xml:space="preserve">thenaturalstep.org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Kereteket és tanácsadást nyújt a fenntartható szervezeti és közösségi fejlődéshez.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b w:val="1"/>
          <w:rtl w:val="0"/>
        </w:rPr>
        <w:t xml:space="preserve">Fenntartható fejlesztési célok (SDG-k) - sdgs.un.org: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  <w:t xml:space="preserve">Információk a 17 fenntartható fejlődési célról, amelyek egyetemes felhívást jelentenek a szegénység felszámolására, a bolygó védelmére és a mindenki számára biztosított jólétre.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b w:val="1"/>
          <w:rtl w:val="0"/>
        </w:rPr>
        <w:t xml:space="preserve">GreenBiz - </w:t>
      </w:r>
      <w:hyperlink r:id="rId27">
        <w:r w:rsidDel="00000000" w:rsidR="00000000" w:rsidRPr="00000000">
          <w:rPr>
            <w:color w:val="0563c1"/>
            <w:u w:val="single"/>
            <w:rtl w:val="0"/>
          </w:rPr>
          <w:t xml:space="preserve">greenbiz.com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  <w:t xml:space="preserve">Vezető média- és rendezvényszervező vállalat, amely az üzleti életre, a technológiára és a fenntarthatóságra összpontosít.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b w:val="1"/>
          <w:rtl w:val="0"/>
        </w:rPr>
        <w:t xml:space="preserve">Corporate Eco Forum - </w:t>
      </w:r>
      <w:hyperlink r:id="rId28">
        <w:r w:rsidDel="00000000" w:rsidR="00000000" w:rsidRPr="00000000">
          <w:rPr>
            <w:color w:val="0563c1"/>
            <w:u w:val="single"/>
            <w:rtl w:val="0"/>
          </w:rPr>
          <w:t xml:space="preserve">corporateecoforum.com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t xml:space="preserve">A nagyvállalatok tagszervezete, amely az üzleti szempontú fenntarthatóság iránt elkötelezett.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sectPr>
      <w:headerReference r:id="rId29" w:type="default"/>
      <w:headerReference r:id="rId30" w:type="first"/>
      <w:headerReference r:id="rId31" w:type="even"/>
      <w:footerReference r:id="rId32" w:type="default"/>
      <w:footerReference r:id="rId33" w:type="first"/>
      <w:pgSz w:h="16838" w:w="11906" w:orient="portrait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Arial"/>
  <w:font w:name="Calibri"/>
  <w:font w:name="Courier New"/>
  <w:font w:name="Promp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-1549399</wp:posOffset>
              </wp:positionH>
              <wp:positionV relativeFrom="paragraph">
                <wp:posOffset>558800</wp:posOffset>
              </wp:positionV>
              <wp:extent cx="8389349" cy="424232"/>
              <wp:effectExtent b="0" l="0" r="0" t="0"/>
              <wp:wrapNone/>
              <wp:docPr id="195837859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rot="5400000">
                        <a:off x="5158932" y="-409912"/>
                        <a:ext cx="374136" cy="83798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-1549399</wp:posOffset>
              </wp:positionH>
              <wp:positionV relativeFrom="paragraph">
                <wp:posOffset>558800</wp:posOffset>
              </wp:positionV>
              <wp:extent cx="8389349" cy="424232"/>
              <wp:effectExtent b="0" l="0" r="0" t="0"/>
              <wp:wrapNone/>
              <wp:docPr id="195837859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89349" cy="42423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196215</wp:posOffset>
          </wp:positionV>
          <wp:extent cx="2244090" cy="470799"/>
          <wp:effectExtent b="0" l="0" r="0" t="0"/>
          <wp:wrapSquare wrapText="bothSides" distB="0" distT="0" distL="114300" distR="114300"/>
          <wp:docPr descr="Afbeelding met Lettertype, schermopname, Graphics, Elektrisch blauw&#10;&#10;Automatisch gegenereerde beschrijving" id="1958378599" name="image13.png"/>
          <a:graphic>
            <a:graphicData uri="http://schemas.openxmlformats.org/drawingml/2006/picture">
              <pic:pic>
                <pic:nvPicPr>
                  <pic:cNvPr descr="Afbeelding met Lettertype, schermopname, Graphics, Elektrisch blauw&#10;&#10;Automatisch gegenereerde beschrijving" id="0" name="image1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44090" cy="47079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-3568699</wp:posOffset>
              </wp:positionH>
              <wp:positionV relativeFrom="paragraph">
                <wp:posOffset>3581400</wp:posOffset>
              </wp:positionV>
              <wp:extent cx="7719061" cy="544195"/>
              <wp:effectExtent b="0" l="0" r="0" t="0"/>
              <wp:wrapNone/>
              <wp:docPr id="195837859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486450" y="3507875"/>
                        <a:ext cx="7719061" cy="544195"/>
                        <a:chOff x="1486450" y="3507875"/>
                        <a:chExt cx="7719100" cy="544250"/>
                      </a:xfrm>
                    </wpg:grpSpPr>
                    <wpg:grpSp>
                      <wpg:cNvGrpSpPr/>
                      <wpg:grpSpPr>
                        <a:xfrm>
                          <a:off x="1486470" y="3507903"/>
                          <a:ext cx="7719061" cy="544195"/>
                          <a:chOff x="1480100" y="3507150"/>
                          <a:chExt cx="7731800" cy="5457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480100" y="3507150"/>
                            <a:ext cx="7731800" cy="54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 rot="5400000">
                            <a:off x="5079510" y="-79531"/>
                            <a:ext cx="532981" cy="7719061"/>
                            <a:chOff x="0" y="1"/>
                            <a:chExt cx="619125" cy="11144249"/>
                          </a:xfrm>
                        </wpg:grpSpPr>
                        <wps:wsp>
                          <wps:cNvSpPr/>
                          <wps:cNvPr id="13" name="Shape 13"/>
                          <wps:spPr>
                            <a:xfrm>
                              <a:off x="0" y="1"/>
                              <a:ext cx="619125" cy="11144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0" y="6905625"/>
                              <a:ext cx="619125" cy="4238625"/>
                            </a:xfrm>
                            <a:prstGeom prst="rect">
                              <a:avLst/>
                            </a:prstGeom>
                            <a:solidFill>
                              <a:srgbClr val="1A496A"/>
                            </a:soli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0" y="3311704"/>
                              <a:ext cx="619125" cy="3895920"/>
                            </a:xfrm>
                            <a:prstGeom prst="rect">
                              <a:avLst/>
                            </a:prstGeom>
                            <a:solidFill>
                              <a:srgbClr val="FCC310"/>
                            </a:soli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0" y="1"/>
                              <a:ext cx="619125" cy="3402106"/>
                            </a:xfrm>
                            <a:prstGeom prst="rect">
                              <a:avLst/>
                            </a:prstGeom>
                            <a:solidFill>
                              <a:srgbClr val="4C9F37"/>
                            </a:soli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-3568699</wp:posOffset>
              </wp:positionH>
              <wp:positionV relativeFrom="paragraph">
                <wp:posOffset>3581400</wp:posOffset>
              </wp:positionV>
              <wp:extent cx="7719061" cy="544195"/>
              <wp:effectExtent b="0" l="0" r="0" t="0"/>
              <wp:wrapNone/>
              <wp:docPr id="195837859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19061" cy="5441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13">
    <w:pPr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A projekt száma: 2022-2-RO01-KA220-YOU-000102027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1481772</wp:posOffset>
          </wp:positionH>
          <wp:positionV relativeFrom="paragraph">
            <wp:posOffset>-671738</wp:posOffset>
          </wp:positionV>
          <wp:extent cx="2797175" cy="587375"/>
          <wp:effectExtent b="0" l="0" r="0" t="0"/>
          <wp:wrapSquare wrapText="bothSides" distB="0" distT="0" distL="114300" distR="114300"/>
          <wp:docPr descr="Afbeelding met Lettertype, schermopname, Graphics, Elektrisch blauw&#10;&#10;Automatisch gegenereerde beschrijving" id="1958378600" name="image13.png"/>
          <a:graphic>
            <a:graphicData uri="http://schemas.openxmlformats.org/drawingml/2006/picture">
              <pic:pic>
                <pic:nvPicPr>
                  <pic:cNvPr descr="Afbeelding met Lettertype, schermopname, Graphics, Elektrisch blauw&#10;&#10;Automatisch gegenereerde beschrijving" id="0" name="image1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97175" cy="5873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14">
    <w:pPr>
      <w:jc w:val="center"/>
      <w:rPr>
        <w:b w:val="1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596.4pt;height:85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596.4pt;height:85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4736770</wp:posOffset>
          </wp:positionH>
          <wp:positionV relativeFrom="paragraph">
            <wp:posOffset>-117019</wp:posOffset>
          </wp:positionV>
          <wp:extent cx="1520325" cy="391885"/>
          <wp:effectExtent b="0" l="0" r="0" t="0"/>
          <wp:wrapNone/>
          <wp:docPr id="195837859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40401" l="14463" r="5235" t="38899"/>
                  <a:stretch>
                    <a:fillRect/>
                  </a:stretch>
                </pic:blipFill>
                <pic:spPr>
                  <a:xfrm>
                    <a:off x="0" y="0"/>
                    <a:ext cx="1520325" cy="3918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596.4pt;height:85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en-GB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  <w:ind w:firstLine="720"/>
      <w:jc w:val="left"/>
    </w:pPr>
    <w:rPr>
      <w:b w:val="1"/>
      <w:color w:val="1a496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b w:val="1"/>
      <w:color w:val="1a496a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  <w:ind w:left="720"/>
    </w:pPr>
    <w:rPr>
      <w:color w:val="44546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9305D"/>
    <w:rPr>
      <w:rFonts w:cs="Times New Roman" w:eastAsia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09105D"/>
    <w:pPr>
      <w:keepNext w:val="1"/>
      <w:keepLines w:val="1"/>
      <w:spacing w:before="240"/>
      <w:ind w:firstLine="720"/>
      <w:jc w:val="left"/>
      <w:outlineLvl w:val="0"/>
    </w:pPr>
    <w:rPr>
      <w:rFonts w:cstheme="majorBidi" w:eastAsiaTheme="majorEastAsia"/>
      <w:b w:val="1"/>
      <w:color w:val="1a496a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6364BE"/>
    <w:pPr>
      <w:keepNext w:val="1"/>
      <w:keepLines w:val="1"/>
      <w:spacing w:before="40"/>
      <w:outlineLvl w:val="1"/>
    </w:pPr>
    <w:rPr>
      <w:rFonts w:cstheme="majorBidi" w:eastAsiaTheme="majorEastAsia"/>
      <w:b w:val="1"/>
      <w:color w:val="1a496a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E378FE"/>
    <w:pPr>
      <w:keepNext w:val="1"/>
      <w:keepLines w:val="1"/>
      <w:spacing w:before="40"/>
      <w:ind w:left="720"/>
      <w:outlineLvl w:val="2"/>
    </w:pPr>
    <w:rPr>
      <w:rFonts w:cstheme="majorBidi" w:eastAsiaTheme="majorEastAsia"/>
      <w:color w:val="44546a" w:themeColor="text2"/>
      <w:sz w:val="24"/>
    </w:rPr>
  </w:style>
  <w:style w:type="paragraph" w:styleId="Heading4">
    <w:name w:val="heading 4"/>
    <w:basedOn w:val="Normal"/>
    <w:next w:val="Normal"/>
    <w:uiPriority w:val="9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3C1865"/>
    <w:rPr>
      <w:rFonts w:ascii="Calibri" w:cs="Times New Roman" w:eastAsia="Calibri" w:hAnsi="Calibri"/>
      <w:sz w:val="24"/>
      <w:szCs w:val="24"/>
      <w:lang w:val="es-E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FootnoteText">
    <w:name w:val="footnote text"/>
    <w:basedOn w:val="Normal"/>
    <w:link w:val="FootnoteTextChar"/>
    <w:uiPriority w:val="99"/>
    <w:unhideWhenUsed w:val="1"/>
    <w:rsid w:val="003C1865"/>
    <w:rPr>
      <w:rFonts w:asciiTheme="minorHAnsi" w:cstheme="minorBidi" w:eastAsiaTheme="minorHAnsi" w:hAnsiTheme="minorHAnsi"/>
      <w:sz w:val="20"/>
      <w:szCs w:val="20"/>
      <w:lang w:eastAsia="en-US" w:val="en-US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3C1865"/>
    <w:rPr>
      <w:sz w:val="20"/>
      <w:szCs w:val="20"/>
      <w:lang w:val="en-US"/>
    </w:rPr>
  </w:style>
  <w:style w:type="paragraph" w:styleId="HeadingwithoutNumber" w:customStyle="1">
    <w:name w:val="Heading without Number"/>
    <w:basedOn w:val="Heading1"/>
    <w:next w:val="Normal"/>
    <w:rsid w:val="003C1865"/>
    <w:pPr>
      <w:keepLines w:val="0"/>
      <w:kinsoku w:val="0"/>
      <w:wordWrap w:val="0"/>
      <w:overflowPunct w:val="0"/>
      <w:autoSpaceDE w:val="0"/>
      <w:autoSpaceDN w:val="0"/>
      <w:adjustRightInd w:val="0"/>
      <w:spacing w:after="120" w:before="480"/>
      <w:ind w:left="720" w:hanging="360"/>
      <w:textAlignment w:val="baseline"/>
      <w:outlineLvl w:val="9"/>
    </w:pPr>
    <w:rPr>
      <w:rFonts w:ascii="Arial" w:cs="Times New Roman" w:eastAsia="MingLiU" w:hAnsi="Arial"/>
      <w:b w:val="0"/>
      <w:smallCaps w:val="1"/>
      <w:color w:val="0070c0"/>
      <w:kern w:val="28"/>
      <w:sz w:val="28"/>
      <w:szCs w:val="24"/>
      <w:lang w:eastAsia="de-DE"/>
    </w:rPr>
  </w:style>
  <w:style w:type="character" w:styleId="Heading1Char" w:customStyle="1">
    <w:name w:val="Heading 1 Char"/>
    <w:basedOn w:val="DefaultParagraphFont"/>
    <w:link w:val="Heading1"/>
    <w:rsid w:val="0009105D"/>
    <w:rPr>
      <w:rFonts w:cstheme="majorBidi" w:eastAsiaTheme="majorEastAsia"/>
      <w:b w:val="1"/>
      <w:color w:val="1a496a"/>
      <w:sz w:val="40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 w:val="1"/>
    <w:rsid w:val="003C1865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C1865"/>
    <w:rPr>
      <w:rFonts w:ascii="Franklin Gothic Book" w:cs="Times New Roman" w:eastAsia="Times New Roman" w:hAnsi="Franklin Gothic Book"/>
      <w:szCs w:val="24"/>
      <w:lang w:eastAsia="en-GB" w:val="es-ES_tradnl"/>
    </w:rPr>
  </w:style>
  <w:style w:type="paragraph" w:styleId="Footer">
    <w:name w:val="footer"/>
    <w:basedOn w:val="Normal"/>
    <w:link w:val="FooterChar"/>
    <w:uiPriority w:val="99"/>
    <w:unhideWhenUsed w:val="1"/>
    <w:rsid w:val="003C1865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C1865"/>
    <w:rPr>
      <w:rFonts w:ascii="Franklin Gothic Book" w:cs="Times New Roman" w:eastAsia="Times New Roman" w:hAnsi="Franklin Gothic Book"/>
      <w:szCs w:val="24"/>
      <w:lang w:eastAsia="en-GB" w:val="es-ES_tradnl"/>
    </w:rPr>
  </w:style>
  <w:style w:type="character" w:styleId="Heading2Char" w:customStyle="1">
    <w:name w:val="Heading 2 Char"/>
    <w:basedOn w:val="DefaultParagraphFont"/>
    <w:link w:val="Heading2"/>
    <w:uiPriority w:val="9"/>
    <w:rsid w:val="006364BE"/>
    <w:rPr>
      <w:rFonts w:cstheme="majorBidi" w:eastAsiaTheme="majorEastAsia"/>
      <w:b w:val="1"/>
      <w:color w:val="1a496a"/>
      <w:sz w:val="24"/>
      <w:szCs w:val="26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rsid w:val="00E378FE"/>
    <w:rPr>
      <w:rFonts w:cstheme="majorBidi" w:eastAsiaTheme="majorEastAsia"/>
      <w:color w:val="44546a" w:themeColor="text2"/>
      <w:sz w:val="24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7D41AB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0000BF"/>
      <w:sz w:val="32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7D41AB"/>
    <w:pPr>
      <w:spacing w:after="100"/>
    </w:pPr>
  </w:style>
  <w:style w:type="paragraph" w:styleId="TOC2">
    <w:name w:val="toc 2"/>
    <w:basedOn w:val="Normal"/>
    <w:next w:val="Normal"/>
    <w:autoRedefine w:val="1"/>
    <w:uiPriority w:val="39"/>
    <w:unhideWhenUsed w:val="1"/>
    <w:rsid w:val="007D41AB"/>
    <w:pPr>
      <w:spacing w:after="100"/>
      <w:ind w:left="220"/>
    </w:pPr>
  </w:style>
  <w:style w:type="paragraph" w:styleId="TOC3">
    <w:name w:val="toc 3"/>
    <w:basedOn w:val="Normal"/>
    <w:next w:val="Normal"/>
    <w:autoRedefine w:val="1"/>
    <w:uiPriority w:val="39"/>
    <w:unhideWhenUsed w:val="1"/>
    <w:rsid w:val="007D41A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 w:val="1"/>
    <w:rsid w:val="007D41AB"/>
    <w:rPr>
      <w:color w:val="0563c1" w:themeColor="hyperlink"/>
      <w:u w:val="single"/>
    </w:rPr>
  </w:style>
  <w:style w:type="paragraph" w:styleId="ListParagraph">
    <w:name w:val="List Paragraph"/>
    <w:aliases w:val="kop 4"/>
    <w:basedOn w:val="Normal"/>
    <w:uiPriority w:val="34"/>
    <w:qFormat w:val="1"/>
    <w:rsid w:val="00083481"/>
    <w:pPr>
      <w:ind w:left="720"/>
      <w:contextualSpacing w:val="1"/>
    </w:p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3735A"/>
    <w:rPr>
      <w:color w:val="605e5c"/>
      <w:shd w:color="auto" w:fill="e1dfdd" w:val="clear"/>
    </w:rPr>
  </w:style>
  <w:style w:type="character" w:styleId="cf01" w:customStyle="1">
    <w:name w:val="cf01"/>
    <w:basedOn w:val="DefaultParagraphFont"/>
    <w:rsid w:val="009820C9"/>
    <w:rPr>
      <w:rFonts w:ascii="Segoe UI" w:cs="Segoe UI" w:hAnsi="Segoe UI" w:hint="default"/>
      <w:color w:val="262626"/>
      <w:sz w:val="36"/>
      <w:szCs w:val="36"/>
    </w:rPr>
  </w:style>
  <w:style w:type="table" w:styleId="PlainTable1">
    <w:name w:val="Plain Table 1"/>
    <w:basedOn w:val="TableNormal"/>
    <w:uiPriority w:val="41"/>
    <w:rsid w:val="004D2769"/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153F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153F0E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53F0E"/>
    <w:rPr>
      <w:rFonts w:ascii="Open Sans" w:cs="Times New Roman" w:eastAsia="Times New Roman" w:hAnsi="Open Sans"/>
      <w:sz w:val="20"/>
      <w:szCs w:val="20"/>
      <w:lang w:eastAsia="en-GB"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153F0E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153F0E"/>
    <w:rPr>
      <w:rFonts w:ascii="Open Sans" w:cs="Times New Roman" w:eastAsia="Times New Roman" w:hAnsi="Open Sans"/>
      <w:b w:val="1"/>
      <w:bCs w:val="1"/>
      <w:sz w:val="20"/>
      <w:szCs w:val="20"/>
      <w:lang w:eastAsia="en-GB" w:val="es-ES_tradnl"/>
    </w:rPr>
  </w:style>
  <w:style w:type="paragraph" w:styleId="Revision">
    <w:name w:val="Revision"/>
    <w:hidden w:val="1"/>
    <w:uiPriority w:val="99"/>
    <w:semiHidden w:val="1"/>
    <w:rsid w:val="0058402F"/>
    <w:rPr>
      <w:rFonts w:cs="Times New Roman" w:eastAsia="Times New Roman"/>
      <w:szCs w:val="24"/>
      <w:lang w:eastAsia="en-GB" w:val="es-ES_tradnl"/>
    </w:rPr>
  </w:style>
  <w:style w:type="paragraph" w:styleId="NormalWeb">
    <w:name w:val="Normal (Web)"/>
    <w:basedOn w:val="Normal"/>
    <w:uiPriority w:val="99"/>
    <w:semiHidden w:val="1"/>
    <w:unhideWhenUsed w:val="1"/>
    <w:rsid w:val="009D162C"/>
    <w:pPr>
      <w:spacing w:after="100" w:afterAutospacing="1" w:before="100" w:beforeAutospacing="1"/>
      <w:jc w:val="left"/>
    </w:pPr>
    <w:rPr>
      <w:rFonts w:ascii="Times New Roman" w:hAnsi="Times New Roman"/>
      <w:sz w:val="24"/>
      <w:lang w:eastAsia="en-US" w:val="en-US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100A20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1"/>
    <w:rPr>
      <w:rFonts w:ascii="Calibri" w:cs="Calibri" w:eastAsia="Calibri" w:hAnsi="Calibri"/>
      <w:sz w:val="24"/>
      <w:szCs w:val="24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rPr>
      <w:rFonts w:ascii="Calibri" w:cs="Calibri" w:eastAsia="Calibri" w:hAnsi="Calibri"/>
      <w:sz w:val="24"/>
      <w:szCs w:val="24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1"/>
    <w:rPr>
      <w:rFonts w:ascii="Calibri" w:cs="Calibri" w:eastAsia="Calibri" w:hAnsi="Calibri"/>
      <w:sz w:val="24"/>
      <w:szCs w:val="24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1"/>
    <w:rPr>
      <w:rFonts w:ascii="Calibri" w:cs="Calibri" w:eastAsia="Calibri" w:hAnsi="Calibri"/>
      <w:sz w:val="24"/>
      <w:szCs w:val="24"/>
    </w:rPr>
    <w:tblPr>
      <w:tblStyleRowBandSize w:val="1"/>
      <w:tblStyleColBandSize w:val="1"/>
      <w:tblCellMar>
        <w:left w:w="108.0" w:type="dxa"/>
        <w:right w:w="108.0" w:type="dxa"/>
      </w:tblCellMar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numbering" w:styleId="Stijl1" w:customStyle="1">
    <w:name w:val="Stijl1"/>
    <w:uiPriority w:val="99"/>
    <w:rsid w:val="00E56323"/>
    <w:pPr>
      <w:numPr>
        <w:numId w:val="21"/>
      </w:numPr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unep.org/" TargetMode="External"/><Relationship Id="rId22" Type="http://schemas.openxmlformats.org/officeDocument/2006/relationships/hyperlink" Target="https://www.globalreporting.org/" TargetMode="External"/><Relationship Id="rId21" Type="http://schemas.openxmlformats.org/officeDocument/2006/relationships/hyperlink" Target="https://www.epa.gov/" TargetMode="External"/><Relationship Id="rId24" Type="http://schemas.openxmlformats.org/officeDocument/2006/relationships/hyperlink" Target="https://www.cdp.net/" TargetMode="External"/><Relationship Id="rId23" Type="http://schemas.openxmlformats.org/officeDocument/2006/relationships/hyperlink" Target="https://www.wbcsd.org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hyperlink" Target="https://thenaturalstep.org/" TargetMode="External"/><Relationship Id="rId25" Type="http://schemas.openxmlformats.org/officeDocument/2006/relationships/hyperlink" Target="https://www.ellenmacarthurfoundation.org/" TargetMode="External"/><Relationship Id="rId28" Type="http://schemas.openxmlformats.org/officeDocument/2006/relationships/hyperlink" Target="https://www.corporateecoforum.com/" TargetMode="External"/><Relationship Id="rId27" Type="http://schemas.openxmlformats.org/officeDocument/2006/relationships/hyperlink" Target="https://www.greenbiz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2.xml"/><Relationship Id="rId7" Type="http://schemas.openxmlformats.org/officeDocument/2006/relationships/image" Target="media/image2.png"/><Relationship Id="rId8" Type="http://schemas.openxmlformats.org/officeDocument/2006/relationships/image" Target="media/image7.png"/><Relationship Id="rId31" Type="http://schemas.openxmlformats.org/officeDocument/2006/relationships/header" Target="header1.xml"/><Relationship Id="rId30" Type="http://schemas.openxmlformats.org/officeDocument/2006/relationships/header" Target="header3.xml"/><Relationship Id="rId11" Type="http://schemas.openxmlformats.org/officeDocument/2006/relationships/image" Target="media/image10.jpg"/><Relationship Id="rId33" Type="http://schemas.openxmlformats.org/officeDocument/2006/relationships/footer" Target="footer2.xml"/><Relationship Id="rId10" Type="http://schemas.openxmlformats.org/officeDocument/2006/relationships/image" Target="media/image11.png"/><Relationship Id="rId32" Type="http://schemas.openxmlformats.org/officeDocument/2006/relationships/footer" Target="footer1.xml"/><Relationship Id="rId13" Type="http://schemas.openxmlformats.org/officeDocument/2006/relationships/image" Target="media/image8.png"/><Relationship Id="rId12" Type="http://schemas.openxmlformats.org/officeDocument/2006/relationships/image" Target="media/image12.png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17" Type="http://schemas.openxmlformats.org/officeDocument/2006/relationships/hyperlink" Target="https://joint-research-centre.ec.europa.eu/greencomp-european-sustainability-competence-framework_en" TargetMode="External"/><Relationship Id="rId16" Type="http://schemas.openxmlformats.org/officeDocument/2006/relationships/hyperlink" Target="https://commission.europa.eu/strategy-and-policy/priorities-2019-2024/european-green-deal_en" TargetMode="External"/><Relationship Id="rId19" Type="http://schemas.openxmlformats.org/officeDocument/2006/relationships/hyperlink" Target="https://op.europa.eu/en/publication-detail/-/publication/e634b432-a969-4814-9f2b-bbe3042ca86f/language-en" TargetMode="External"/><Relationship Id="rId18" Type="http://schemas.openxmlformats.org/officeDocument/2006/relationships/hyperlink" Target="https://new-european-bauhaus.europa.eu/index_en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Prompt-regular.ttf"/><Relationship Id="rId2" Type="http://schemas.openxmlformats.org/officeDocument/2006/relationships/font" Target="fonts/Prompt-bold.ttf"/><Relationship Id="rId3" Type="http://schemas.openxmlformats.org/officeDocument/2006/relationships/font" Target="fonts/Prompt-italic.ttf"/><Relationship Id="rId4" Type="http://schemas.openxmlformats.org/officeDocument/2006/relationships/font" Target="fonts/Prompt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OpenSans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3.png"/><Relationship Id="rId3" Type="http://schemas.openxmlformats.org/officeDocument/2006/relationships/image" Target="media/image6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O1El5/j9IBXR2jltC0TAM5AMSQ==">CgMxLjAyCWguNDl4MmlrNTIJaC4xcHhlendjMgloLjJwMmNzcnkyCWguMTQ3bjJ6cjIJaC4zbzdhbG5rMgloLjIzY2t2dmQyCGguaWh2NjM2MgloLjMyaGlvcXoyCWguMWhtc3l5czIJaC40MW1naG1sMgloLjJncnFydWUyCGgudngxMjI3MgloLjNmd29rcTAyCWguMXYxeXV4dDIJaC40ZjFtZGxtMgloLjJ1NndudGYyCWguMTljNnkxODIJaC4zdGJ1Z3AxOAByITFHNXVoa1VOeTc1Z21UZGZUU1lPNTlnRHQzYzE1NGt1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2024-06-20T05:13:00Z</dcterms:created>
  <dc:creator>Nynke de Jager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0x010100466AB66A56A27B469E4A7486AFEC5C3D</vt:lpwstr>
  </property>
  <property fmtid="{D5CDD505-2E9C-101B-9397-08002B2CF9AE}" pid="3" name="MediaServiceImageTags">
    <vt:lpwstr>MediaServiceImageTags</vt:lpwstr>
  </property>
</Properties>
</file>